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9973" w14:textId="3B5FD395" w:rsidR="005855A2" w:rsidRDefault="00BB70DD" w:rsidP="002248B4">
      <w:pPr>
        <w:ind w:left="360"/>
      </w:pPr>
      <w:bookmarkStart w:id="0" w:name="_GoBack"/>
      <w:bookmarkEnd w:id="0"/>
      <w:r>
        <w:rPr>
          <w:noProof/>
        </w:rPr>
        <mc:AlternateContent>
          <mc:Choice Requires="wps">
            <w:drawing>
              <wp:anchor distT="45720" distB="45720" distL="114300" distR="114300" simplePos="0" relativeHeight="251743232" behindDoc="0" locked="0" layoutInCell="1" allowOverlap="1" wp14:anchorId="619C79E9" wp14:editId="541C901E">
                <wp:simplePos x="0" y="0"/>
                <wp:positionH relativeFrom="column">
                  <wp:posOffset>6271260</wp:posOffset>
                </wp:positionH>
                <wp:positionV relativeFrom="paragraph">
                  <wp:posOffset>9286875</wp:posOffset>
                </wp:positionV>
                <wp:extent cx="818515"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47650"/>
                        </a:xfrm>
                        <a:prstGeom prst="rect">
                          <a:avLst/>
                        </a:prstGeom>
                        <a:noFill/>
                        <a:ln w="9525">
                          <a:noFill/>
                          <a:miter lim="800000"/>
                          <a:headEnd/>
                          <a:tailEnd/>
                        </a:ln>
                      </wps:spPr>
                      <wps:txbx>
                        <w:txbxContent>
                          <w:p w14:paraId="2AEC87F5" w14:textId="076F967D" w:rsidR="00BB76B5" w:rsidRPr="00BB76B5" w:rsidRDefault="00BB76B5">
                            <w:pPr>
                              <w:rPr>
                                <w:sz w:val="20"/>
                                <w:szCs w:val="20"/>
                              </w:rPr>
                            </w:pPr>
                            <w:r w:rsidRPr="00BB76B5">
                              <w:rPr>
                                <w:sz w:val="20"/>
                                <w:szCs w:val="20"/>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C79E9" id="_x0000_t202" coordsize="21600,21600" o:spt="202" path="m,l,21600r21600,l21600,xe">
                <v:stroke joinstyle="miter"/>
                <v:path gradientshapeok="t" o:connecttype="rect"/>
              </v:shapetype>
              <v:shape id="Text Box 2" o:spid="_x0000_s1026" type="#_x0000_t202" style="position:absolute;left:0;text-align:left;margin-left:493.8pt;margin-top:731.25pt;width:64.45pt;height:19.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" filled="f" stroked="f">
                <v:textbox>
                  <w:txbxContent>
                    <w:p w14:paraId="2AEC87F5" w14:textId="076F967D" w:rsidR="00BB76B5" w:rsidRPr="00BB76B5" w:rsidRDefault="00BB76B5">
                      <w:pPr>
                        <w:rPr>
                          <w:sz w:val="20"/>
                          <w:szCs w:val="20"/>
                        </w:rPr>
                      </w:pPr>
                      <w:r w:rsidRPr="00BB76B5">
                        <w:rPr>
                          <w:sz w:val="20"/>
                          <w:szCs w:val="20"/>
                        </w:rPr>
                        <w:t>June 2020</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12513B9B" wp14:editId="13F9D260">
                <wp:simplePos x="0" y="0"/>
                <wp:positionH relativeFrom="margin">
                  <wp:posOffset>228600</wp:posOffset>
                </wp:positionH>
                <wp:positionV relativeFrom="paragraph">
                  <wp:posOffset>1904999</wp:posOffset>
                </wp:positionV>
                <wp:extent cx="6886575" cy="7569835"/>
                <wp:effectExtent l="0" t="0" r="9525"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5698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68785D" w14:textId="05C5312C" w:rsidR="003B5904" w:rsidRDefault="00BB70DD" w:rsidP="003B5904">
                            <w:pPr>
                              <w:pStyle w:val="Heading1"/>
                              <w:spacing w:line="240" w:lineRule="auto"/>
                              <w:rPr>
                                <w:sz w:val="56"/>
                                <w:szCs w:val="56"/>
                              </w:rPr>
                            </w:pPr>
                            <w:r>
                              <w:rPr>
                                <w:sz w:val="56"/>
                                <w:szCs w:val="56"/>
                              </w:rPr>
                              <w:t>Talking points and statistics</w:t>
                            </w:r>
                          </w:p>
                          <w:p w14:paraId="15ABDDA0" w14:textId="77777777" w:rsidR="00BB70DD" w:rsidRPr="00BB70DD" w:rsidRDefault="00BB70DD" w:rsidP="00BB70DD">
                            <w:pPr>
                              <w:pStyle w:val="ListParagraph"/>
                              <w:numPr>
                                <w:ilvl w:val="0"/>
                                <w:numId w:val="9"/>
                              </w:numPr>
                              <w:rPr>
                                <w:sz w:val="20"/>
                                <w:szCs w:val="20"/>
                              </w:rPr>
                            </w:pPr>
                            <w:r w:rsidRPr="00BB70DD">
                              <w:rPr>
                                <w:sz w:val="20"/>
                                <w:szCs w:val="20"/>
                              </w:rPr>
                              <w:t>Per a 2017 Gallop Poll, the percentage of adult Americans identifying as LGBTQ is steadily rising: 3.5% (2012) to 4.5% (2017). This increase has been driven almost entirely by millennials whose reports of being LGBT have risen from 5.2% six years ago to 8.1% today.</w:t>
                            </w:r>
                          </w:p>
                          <w:p w14:paraId="79C2F7B8" w14:textId="77777777" w:rsidR="00BB70DD" w:rsidRPr="00BB70DD" w:rsidRDefault="00BB70DD" w:rsidP="00BB70DD">
                            <w:pPr>
                              <w:pStyle w:val="ListParagraph"/>
                              <w:numPr>
                                <w:ilvl w:val="0"/>
                                <w:numId w:val="9"/>
                              </w:numPr>
                              <w:rPr>
                                <w:sz w:val="20"/>
                                <w:szCs w:val="20"/>
                              </w:rPr>
                            </w:pPr>
                            <w:r w:rsidRPr="00BB70DD">
                              <w:rPr>
                                <w:sz w:val="20"/>
                                <w:szCs w:val="20"/>
                              </w:rPr>
                              <w:t>Maine has a higher percentage of LGBTQ adults (4.9%) compared with the rising national average (4.5%); and 21% of LGBTQ adults in Maine are raising children</w:t>
                            </w:r>
                            <w:r w:rsidRPr="00BB70DD">
                              <w:rPr>
                                <w:sz w:val="20"/>
                                <w:szCs w:val="20"/>
                                <w:vertAlign w:val="superscript"/>
                              </w:rPr>
                              <w:t>4</w:t>
                            </w:r>
                          </w:p>
                          <w:p w14:paraId="4D8054DA" w14:textId="77777777" w:rsidR="00BB70DD" w:rsidRPr="00BB70DD" w:rsidRDefault="00BB70DD" w:rsidP="00BB70DD">
                            <w:pPr>
                              <w:pStyle w:val="ListParagraph"/>
                              <w:numPr>
                                <w:ilvl w:val="0"/>
                                <w:numId w:val="9"/>
                              </w:numPr>
                              <w:rPr>
                                <w:sz w:val="20"/>
                                <w:szCs w:val="20"/>
                              </w:rPr>
                            </w:pPr>
                            <w:r w:rsidRPr="00BB70DD">
                              <w:rPr>
                                <w:sz w:val="20"/>
                                <w:szCs w:val="20"/>
                              </w:rPr>
                              <w:t>56% of lesbian, gay, and bisexual people report experiences of serious discrimination in healthcare, while 70% of transgender people report serious discrimination (reporting at least one of the following: healthcare professionals refusing to provide needed care, refusing to touch them or using excessive precautions, using harsh or abusive language, blaming them for their health status, or being physically rough or abusive)</w:t>
                            </w:r>
                            <w:r w:rsidRPr="00BB70DD">
                              <w:rPr>
                                <w:sz w:val="20"/>
                                <w:szCs w:val="20"/>
                                <w:vertAlign w:val="superscript"/>
                              </w:rPr>
                              <w:t>5</w:t>
                            </w:r>
                          </w:p>
                          <w:p w14:paraId="2183FE65" w14:textId="77777777" w:rsidR="00BB70DD" w:rsidRPr="00BB70DD" w:rsidRDefault="00BB70DD" w:rsidP="00BB70DD">
                            <w:pPr>
                              <w:pStyle w:val="ListParagraph"/>
                              <w:numPr>
                                <w:ilvl w:val="0"/>
                                <w:numId w:val="9"/>
                              </w:numPr>
                              <w:rPr>
                                <w:sz w:val="20"/>
                                <w:szCs w:val="20"/>
                              </w:rPr>
                            </w:pPr>
                            <w:r w:rsidRPr="00BB70DD">
                              <w:rPr>
                                <w:sz w:val="20"/>
                                <w:szCs w:val="20"/>
                              </w:rPr>
                              <w:t>CMS and The Joint Commission have issued requirements for LGBTQ equity and inclusion, and expert recommendations have now emerged for LGBTQ patient-centered care.</w:t>
                            </w:r>
                          </w:p>
                          <w:p w14:paraId="05EEFF37" w14:textId="77777777" w:rsidR="00BB70DD" w:rsidRPr="00BB70DD" w:rsidRDefault="00BB70DD" w:rsidP="00BB70DD">
                            <w:pPr>
                              <w:pStyle w:val="ListParagraph"/>
                              <w:numPr>
                                <w:ilvl w:val="0"/>
                                <w:numId w:val="9"/>
                              </w:numPr>
                              <w:rPr>
                                <w:sz w:val="20"/>
                                <w:szCs w:val="20"/>
                              </w:rPr>
                            </w:pPr>
                            <w:r w:rsidRPr="00BB70DD">
                              <w:rPr>
                                <w:sz w:val="20"/>
                                <w:szCs w:val="20"/>
                              </w:rPr>
                              <w:t>Among transgender adults, the lifetime prevalence of suicide attempts is 40%</w:t>
                            </w:r>
                            <w:r w:rsidRPr="00BB70DD">
                              <w:rPr>
                                <w:sz w:val="20"/>
                                <w:szCs w:val="20"/>
                                <w:vertAlign w:val="superscript"/>
                              </w:rPr>
                              <w:t>1</w:t>
                            </w:r>
                          </w:p>
                          <w:p w14:paraId="4FCB1796" w14:textId="77777777" w:rsidR="00BB70DD" w:rsidRPr="00BB70DD" w:rsidRDefault="00BB70DD" w:rsidP="00BB70DD">
                            <w:pPr>
                              <w:pStyle w:val="ListParagraph"/>
                              <w:numPr>
                                <w:ilvl w:val="0"/>
                                <w:numId w:val="9"/>
                              </w:numPr>
                              <w:rPr>
                                <w:sz w:val="20"/>
                                <w:szCs w:val="20"/>
                              </w:rPr>
                            </w:pPr>
                            <w:r w:rsidRPr="00BB70DD">
                              <w:rPr>
                                <w:sz w:val="20"/>
                                <w:szCs w:val="20"/>
                              </w:rPr>
                              <w:t>Lesbian, gay, and bisexual adults have a two-fold risk of suicide attempts compared to heterosexual adults</w:t>
                            </w:r>
                            <w:r w:rsidRPr="00BB70DD">
                              <w:rPr>
                                <w:sz w:val="20"/>
                                <w:szCs w:val="20"/>
                                <w:vertAlign w:val="superscript"/>
                              </w:rPr>
                              <w:t>2</w:t>
                            </w:r>
                          </w:p>
                          <w:p w14:paraId="3CF8D612" w14:textId="77777777" w:rsidR="00BB70DD" w:rsidRPr="00BB70DD" w:rsidRDefault="00BB70DD" w:rsidP="00BB70DD">
                            <w:pPr>
                              <w:pStyle w:val="ListParagraph"/>
                              <w:numPr>
                                <w:ilvl w:val="0"/>
                                <w:numId w:val="9"/>
                              </w:numPr>
                              <w:rPr>
                                <w:sz w:val="20"/>
                                <w:szCs w:val="20"/>
                              </w:rPr>
                            </w:pPr>
                            <w:r w:rsidRPr="00BB70DD">
                              <w:rPr>
                                <w:sz w:val="20"/>
                                <w:szCs w:val="20"/>
                              </w:rPr>
                              <w:t>Lesbian and gay individuals are twice as likely to have a substance use disorder compared to heterosexual counterparts; bisexual persons are three times as likely to have a SUD; and those that are “unsure” of how to identify are five times as likely to have a SUD.</w:t>
                            </w:r>
                            <w:r w:rsidRPr="00BB70DD">
                              <w:rPr>
                                <w:sz w:val="20"/>
                                <w:szCs w:val="20"/>
                                <w:vertAlign w:val="superscript"/>
                              </w:rPr>
                              <w:t>6,7</w:t>
                            </w:r>
                          </w:p>
                          <w:p w14:paraId="22D2FBE2" w14:textId="77777777" w:rsidR="00BB70DD" w:rsidRPr="00BB70DD" w:rsidRDefault="00BB70DD" w:rsidP="00BB70DD">
                            <w:pPr>
                              <w:pStyle w:val="ListParagraph"/>
                              <w:numPr>
                                <w:ilvl w:val="0"/>
                                <w:numId w:val="9"/>
                              </w:numPr>
                              <w:rPr>
                                <w:sz w:val="20"/>
                                <w:szCs w:val="20"/>
                              </w:rPr>
                            </w:pPr>
                            <w:r w:rsidRPr="00BB70DD">
                              <w:rPr>
                                <w:sz w:val="20"/>
                                <w:szCs w:val="20"/>
                              </w:rPr>
                              <w:t>LGBTQ youth comprise approximately 40% of the homeless youth population</w:t>
                            </w:r>
                          </w:p>
                          <w:p w14:paraId="1B57B2FE" w14:textId="77777777" w:rsidR="00BB70DD" w:rsidRPr="00BB70DD" w:rsidRDefault="00BB70DD" w:rsidP="00BB70DD">
                            <w:pPr>
                              <w:pStyle w:val="ListParagraph"/>
                              <w:numPr>
                                <w:ilvl w:val="0"/>
                                <w:numId w:val="9"/>
                              </w:numPr>
                              <w:rPr>
                                <w:sz w:val="20"/>
                                <w:szCs w:val="20"/>
                              </w:rPr>
                            </w:pPr>
                            <w:r w:rsidRPr="00BB70DD">
                              <w:rPr>
                                <w:sz w:val="20"/>
                                <w:szCs w:val="20"/>
                              </w:rPr>
                              <w:t>Factors that strongly protect LGBTQ people, especially youth, against depression and suicidal behavior include access to and use of LGBTQ inclusive medical and mental health</w:t>
                            </w:r>
                            <w:r w:rsidRPr="00BB70DD">
                              <w:rPr>
                                <w:sz w:val="20"/>
                                <w:szCs w:val="20"/>
                                <w:vertAlign w:val="superscript"/>
                              </w:rPr>
                              <w:t>3</w:t>
                            </w:r>
                          </w:p>
                          <w:p w14:paraId="50ACEAE7" w14:textId="1AE34195" w:rsidR="00BB70DD" w:rsidRPr="00BB70DD" w:rsidRDefault="00BB70DD" w:rsidP="00BB70DD">
                            <w:pPr>
                              <w:pStyle w:val="ListParagraph"/>
                              <w:numPr>
                                <w:ilvl w:val="0"/>
                                <w:numId w:val="9"/>
                              </w:numPr>
                              <w:rPr>
                                <w:sz w:val="20"/>
                                <w:szCs w:val="20"/>
                              </w:rPr>
                            </w:pPr>
                            <w:r w:rsidRPr="00BB70DD">
                              <w:rPr>
                                <w:sz w:val="20"/>
                                <w:szCs w:val="20"/>
                              </w:rPr>
                              <w:t>Resiliency factors can be enhanced through access to LGBTQ-affirming counseling and therapy, medical care, and LGBTQ-specific resources</w:t>
                            </w:r>
                            <w:r w:rsidRPr="00BB70DD">
                              <w:rPr>
                                <w:sz w:val="20"/>
                                <w:szCs w:val="20"/>
                                <w:vertAlign w:val="superscript"/>
                              </w:rPr>
                              <w:t>3</w:t>
                            </w:r>
                          </w:p>
                          <w:p w14:paraId="1BE00CF0" w14:textId="77777777" w:rsidR="00BB70DD" w:rsidRPr="00BB70DD" w:rsidRDefault="00BB70DD" w:rsidP="00BB70DD">
                            <w:pPr>
                              <w:rPr>
                                <w:sz w:val="20"/>
                                <w:szCs w:val="20"/>
                              </w:rPr>
                            </w:pPr>
                            <w:r w:rsidRPr="00BB70DD">
                              <w:rPr>
                                <w:sz w:val="20"/>
                                <w:szCs w:val="20"/>
                              </w:rPr>
                              <w:t>Takeaways</w:t>
                            </w:r>
                          </w:p>
                          <w:p w14:paraId="36B0E434" w14:textId="77777777" w:rsidR="00BB70DD" w:rsidRPr="00BB70DD" w:rsidRDefault="00BB70DD" w:rsidP="00BB70DD">
                            <w:pPr>
                              <w:pStyle w:val="ListParagraph"/>
                              <w:numPr>
                                <w:ilvl w:val="0"/>
                                <w:numId w:val="10"/>
                              </w:numPr>
                              <w:rPr>
                                <w:sz w:val="20"/>
                                <w:szCs w:val="20"/>
                              </w:rPr>
                            </w:pPr>
                            <w:r w:rsidRPr="00BB70DD">
                              <w:rPr>
                                <w:sz w:val="20"/>
                                <w:szCs w:val="20"/>
                              </w:rPr>
                              <w:t>The prevalence of LGBTQ Americans is steadily rising</w:t>
                            </w:r>
                          </w:p>
                          <w:p w14:paraId="0C165952" w14:textId="77777777" w:rsidR="00BB70DD" w:rsidRPr="00BB70DD" w:rsidRDefault="00BB70DD" w:rsidP="00BB70DD">
                            <w:pPr>
                              <w:pStyle w:val="ListParagraph"/>
                              <w:numPr>
                                <w:ilvl w:val="0"/>
                                <w:numId w:val="10"/>
                              </w:numPr>
                              <w:rPr>
                                <w:sz w:val="20"/>
                                <w:szCs w:val="20"/>
                              </w:rPr>
                            </w:pPr>
                            <w:r w:rsidRPr="00BB70DD">
                              <w:rPr>
                                <w:sz w:val="20"/>
                                <w:szCs w:val="20"/>
                              </w:rPr>
                              <w:t xml:space="preserve">Maine has a higher prevalence of LGBTQ individuals </w:t>
                            </w:r>
                          </w:p>
                          <w:p w14:paraId="27F5C499" w14:textId="77777777" w:rsidR="00BB70DD" w:rsidRPr="00BB70DD" w:rsidRDefault="00BB70DD" w:rsidP="00BB70DD">
                            <w:pPr>
                              <w:pStyle w:val="ListParagraph"/>
                              <w:numPr>
                                <w:ilvl w:val="0"/>
                                <w:numId w:val="10"/>
                              </w:numPr>
                              <w:rPr>
                                <w:sz w:val="20"/>
                                <w:szCs w:val="20"/>
                              </w:rPr>
                            </w:pPr>
                            <w:r w:rsidRPr="00BB70DD">
                              <w:rPr>
                                <w:sz w:val="20"/>
                                <w:szCs w:val="20"/>
                              </w:rPr>
                              <w:t>LGBTQ persons face serious healthcare discrimination</w:t>
                            </w:r>
                          </w:p>
                          <w:p w14:paraId="1DC3FD8E" w14:textId="77777777" w:rsidR="00BB70DD" w:rsidRPr="00BB70DD" w:rsidRDefault="00BB70DD" w:rsidP="00BB70DD">
                            <w:pPr>
                              <w:pStyle w:val="ListParagraph"/>
                              <w:numPr>
                                <w:ilvl w:val="0"/>
                                <w:numId w:val="10"/>
                              </w:numPr>
                              <w:rPr>
                                <w:sz w:val="20"/>
                                <w:szCs w:val="20"/>
                              </w:rPr>
                            </w:pPr>
                            <w:r w:rsidRPr="00BB70DD">
                              <w:rPr>
                                <w:sz w:val="20"/>
                                <w:szCs w:val="20"/>
                              </w:rPr>
                              <w:t>LGBTQ persons have significantly higher rates of homelessness, SUD’s, suicide attempts, and mental health comorbidities – this directly impacts NLH Acadia Hospital’s patient cohort</w:t>
                            </w:r>
                          </w:p>
                          <w:p w14:paraId="0DD4FE53" w14:textId="572767BF" w:rsidR="00BB70DD" w:rsidRPr="00BB70DD" w:rsidRDefault="00BB70DD" w:rsidP="00BB70DD">
                            <w:pPr>
                              <w:pStyle w:val="ListParagraph"/>
                              <w:numPr>
                                <w:ilvl w:val="0"/>
                                <w:numId w:val="10"/>
                              </w:numPr>
                              <w:rPr>
                                <w:sz w:val="20"/>
                                <w:szCs w:val="20"/>
                              </w:rPr>
                            </w:pPr>
                            <w:r w:rsidRPr="00BB70DD">
                              <w:rPr>
                                <w:sz w:val="20"/>
                                <w:szCs w:val="20"/>
                              </w:rPr>
                              <w:t>Implementing LQBTQ specific policies increases access to healthcare and improves patient outcomes</w:t>
                            </w:r>
                          </w:p>
                          <w:p w14:paraId="52B0F4C7" w14:textId="77777777" w:rsidR="00BB70DD" w:rsidRDefault="00BB70DD" w:rsidP="00BB70DD">
                            <w:pPr>
                              <w:spacing w:after="0"/>
                              <w:rPr>
                                <w:sz w:val="18"/>
                                <w:szCs w:val="18"/>
                              </w:rPr>
                            </w:pPr>
                          </w:p>
                          <w:p w14:paraId="147F3288" w14:textId="015FC90F" w:rsidR="00BB70DD" w:rsidRPr="00BB70DD" w:rsidRDefault="00BB70DD" w:rsidP="00BB70DD">
                            <w:pPr>
                              <w:spacing w:after="0"/>
                              <w:rPr>
                                <w:sz w:val="18"/>
                                <w:szCs w:val="18"/>
                              </w:rPr>
                            </w:pPr>
                            <w:r w:rsidRPr="00BB70DD">
                              <w:rPr>
                                <w:sz w:val="18"/>
                                <w:szCs w:val="18"/>
                              </w:rPr>
                              <w:t>References</w:t>
                            </w:r>
                          </w:p>
                          <w:p w14:paraId="63CA2884" w14:textId="77777777" w:rsidR="00BB70DD" w:rsidRDefault="00BB70DD" w:rsidP="00BB70DD">
                            <w:pPr>
                              <w:pStyle w:val="ListParagraph"/>
                              <w:numPr>
                                <w:ilvl w:val="0"/>
                                <w:numId w:val="11"/>
                              </w:numPr>
                              <w:rPr>
                                <w:sz w:val="16"/>
                                <w:szCs w:val="16"/>
                              </w:rPr>
                            </w:pPr>
                            <w:r w:rsidRPr="00BB70DD">
                              <w:rPr>
                                <w:sz w:val="16"/>
                                <w:szCs w:val="16"/>
                              </w:rPr>
                              <w:t>James S, Herman JL, Rankin S, et al. The Report of the 2015 U.S. Transgender Survey. Washington, DC: National Center for Transgender Equality;2016.</w:t>
                            </w:r>
                          </w:p>
                          <w:p w14:paraId="613616D6" w14:textId="77777777" w:rsidR="00BB70DD" w:rsidRDefault="00BB70DD" w:rsidP="00BB70DD">
                            <w:pPr>
                              <w:pStyle w:val="ListParagraph"/>
                              <w:numPr>
                                <w:ilvl w:val="0"/>
                                <w:numId w:val="11"/>
                              </w:numPr>
                              <w:rPr>
                                <w:sz w:val="16"/>
                                <w:szCs w:val="16"/>
                              </w:rPr>
                            </w:pPr>
                            <w:r w:rsidRPr="00BB70DD">
                              <w:rPr>
                                <w:sz w:val="16"/>
                                <w:szCs w:val="16"/>
                              </w:rPr>
                              <w:t xml:space="preserve">King M, </w:t>
                            </w:r>
                            <w:proofErr w:type="spellStart"/>
                            <w:r w:rsidRPr="00BB70DD">
                              <w:rPr>
                                <w:sz w:val="16"/>
                                <w:szCs w:val="16"/>
                              </w:rPr>
                              <w:t>Semlyen</w:t>
                            </w:r>
                            <w:proofErr w:type="spellEnd"/>
                            <w:r w:rsidRPr="00BB70DD">
                              <w:rPr>
                                <w:sz w:val="16"/>
                                <w:szCs w:val="16"/>
                              </w:rPr>
                              <w:t xml:space="preserve"> J, Tai SS, et al. A systematic review of mental disorder, suicide, and deliberate </w:t>
                            </w:r>
                            <w:proofErr w:type="spellStart"/>
                            <w:r w:rsidRPr="00BB70DD">
                              <w:rPr>
                                <w:sz w:val="16"/>
                                <w:szCs w:val="16"/>
                              </w:rPr>
                              <w:t>self harm</w:t>
                            </w:r>
                            <w:proofErr w:type="spellEnd"/>
                            <w:r w:rsidRPr="00BB70DD">
                              <w:rPr>
                                <w:sz w:val="16"/>
                                <w:szCs w:val="16"/>
                              </w:rPr>
                              <w:t xml:space="preserve"> in lesbian, gay and bisexual people. BMC Psychiatry. </w:t>
                            </w:r>
                            <w:proofErr w:type="gramStart"/>
                            <w:r w:rsidRPr="00BB70DD">
                              <w:rPr>
                                <w:sz w:val="16"/>
                                <w:szCs w:val="16"/>
                              </w:rPr>
                              <w:t>2008;8:70</w:t>
                            </w:r>
                            <w:proofErr w:type="gramEnd"/>
                            <w:r w:rsidRPr="00BB70DD">
                              <w:rPr>
                                <w:sz w:val="16"/>
                                <w:szCs w:val="16"/>
                              </w:rPr>
                              <w:t>.</w:t>
                            </w:r>
                          </w:p>
                          <w:p w14:paraId="2262AEDB" w14:textId="77777777" w:rsidR="00BB70DD" w:rsidRDefault="00BB70DD" w:rsidP="00BB70DD">
                            <w:pPr>
                              <w:pStyle w:val="ListParagraph"/>
                              <w:numPr>
                                <w:ilvl w:val="0"/>
                                <w:numId w:val="11"/>
                              </w:numPr>
                              <w:rPr>
                                <w:sz w:val="16"/>
                                <w:szCs w:val="16"/>
                              </w:rPr>
                            </w:pPr>
                            <w:proofErr w:type="spellStart"/>
                            <w:r w:rsidRPr="00BB70DD">
                              <w:rPr>
                                <w:sz w:val="16"/>
                                <w:szCs w:val="16"/>
                              </w:rPr>
                              <w:t>Bockting</w:t>
                            </w:r>
                            <w:proofErr w:type="spellEnd"/>
                            <w:r w:rsidRPr="00BB70DD">
                              <w:rPr>
                                <w:sz w:val="16"/>
                                <w:szCs w:val="16"/>
                              </w:rPr>
                              <w:t xml:space="preserve"> W, Coleman E, Deutsch MB, et al. Adult development and quality of life of transgender and gender nonconforming people. </w:t>
                            </w:r>
                            <w:proofErr w:type="spellStart"/>
                            <w:r w:rsidRPr="00BB70DD">
                              <w:rPr>
                                <w:sz w:val="16"/>
                                <w:szCs w:val="16"/>
                              </w:rPr>
                              <w:t>Curr</w:t>
                            </w:r>
                            <w:proofErr w:type="spellEnd"/>
                            <w:r w:rsidRPr="00BB70DD">
                              <w:rPr>
                                <w:sz w:val="16"/>
                                <w:szCs w:val="16"/>
                              </w:rPr>
                              <w:t xml:space="preserve"> </w:t>
                            </w:r>
                            <w:proofErr w:type="spellStart"/>
                            <w:r w:rsidRPr="00BB70DD">
                              <w:rPr>
                                <w:sz w:val="16"/>
                                <w:szCs w:val="16"/>
                              </w:rPr>
                              <w:t>Opin</w:t>
                            </w:r>
                            <w:proofErr w:type="spellEnd"/>
                            <w:r w:rsidRPr="00BB70DD">
                              <w:rPr>
                                <w:sz w:val="16"/>
                                <w:szCs w:val="16"/>
                              </w:rPr>
                              <w:t xml:space="preserve"> Endocrinol Diabetes </w:t>
                            </w:r>
                            <w:proofErr w:type="spellStart"/>
                            <w:r w:rsidRPr="00BB70DD">
                              <w:rPr>
                                <w:sz w:val="16"/>
                                <w:szCs w:val="16"/>
                              </w:rPr>
                              <w:t>Obes</w:t>
                            </w:r>
                            <w:proofErr w:type="spellEnd"/>
                            <w:r w:rsidRPr="00BB70DD">
                              <w:rPr>
                                <w:sz w:val="16"/>
                                <w:szCs w:val="16"/>
                              </w:rPr>
                              <w:t xml:space="preserve">. 2016;23(2):188-197. </w:t>
                            </w:r>
                          </w:p>
                          <w:p w14:paraId="475B3D84" w14:textId="77777777" w:rsidR="00BB70DD" w:rsidRDefault="00BB70DD" w:rsidP="00BB70DD">
                            <w:pPr>
                              <w:pStyle w:val="ListParagraph"/>
                              <w:numPr>
                                <w:ilvl w:val="0"/>
                                <w:numId w:val="11"/>
                              </w:numPr>
                              <w:rPr>
                                <w:sz w:val="16"/>
                                <w:szCs w:val="16"/>
                              </w:rPr>
                            </w:pPr>
                            <w:r w:rsidRPr="00BB70DD">
                              <w:rPr>
                                <w:sz w:val="16"/>
                                <w:szCs w:val="16"/>
                              </w:rPr>
                              <w:t>LGBT Demographic Interactive. (January 2019). Los Angeles, CA: The Williams Institute, UCLA School of Law.</w:t>
                            </w:r>
                          </w:p>
                          <w:p w14:paraId="23612AAC" w14:textId="1FB614CF" w:rsidR="00BB70DD" w:rsidRDefault="00BB70DD" w:rsidP="00BB70DD">
                            <w:pPr>
                              <w:pStyle w:val="ListParagraph"/>
                              <w:numPr>
                                <w:ilvl w:val="0"/>
                                <w:numId w:val="11"/>
                              </w:numPr>
                              <w:rPr>
                                <w:sz w:val="16"/>
                                <w:szCs w:val="16"/>
                              </w:rPr>
                            </w:pPr>
                            <w:r w:rsidRPr="00BB70DD">
                              <w:rPr>
                                <w:sz w:val="16"/>
                                <w:szCs w:val="16"/>
                              </w:rPr>
                              <w:t xml:space="preserve">When Health Care Isn’t Caring: Lambda </w:t>
                            </w:r>
                            <w:proofErr w:type="spellStart"/>
                            <w:r w:rsidRPr="00BB70DD">
                              <w:rPr>
                                <w:sz w:val="16"/>
                                <w:szCs w:val="16"/>
                              </w:rPr>
                              <w:t>Legal’s</w:t>
                            </w:r>
                            <w:proofErr w:type="spellEnd"/>
                            <w:r w:rsidRPr="00BB70DD">
                              <w:rPr>
                                <w:sz w:val="16"/>
                                <w:szCs w:val="16"/>
                              </w:rPr>
                              <w:t xml:space="preserve"> Survey of Discrimination Against LGBT People and People with </w:t>
                            </w:r>
                            <w:proofErr w:type="gramStart"/>
                            <w:r w:rsidRPr="00BB70DD">
                              <w:rPr>
                                <w:sz w:val="16"/>
                                <w:szCs w:val="16"/>
                              </w:rPr>
                              <w:t>HIV.</w:t>
                            </w:r>
                            <w:proofErr w:type="gramEnd"/>
                            <w:r w:rsidRPr="00BB70DD">
                              <w:rPr>
                                <w:sz w:val="16"/>
                                <w:szCs w:val="16"/>
                              </w:rPr>
                              <w:t xml:space="preserve"> New York: Lambda Legal, 2010. Available at: </w:t>
                            </w:r>
                            <w:hyperlink r:id="rId7" w:history="1">
                              <w:r w:rsidRPr="007A1EE4">
                                <w:rPr>
                                  <w:rStyle w:val="Hyperlink"/>
                                  <w:sz w:val="16"/>
                                  <w:szCs w:val="16"/>
                                </w:rPr>
                                <w:t>http://www.lambdalegal.org/publications/when-health-care-isnt-caring</w:t>
                              </w:r>
                            </w:hyperlink>
                          </w:p>
                          <w:p w14:paraId="22FD30AF" w14:textId="77777777" w:rsidR="00BB70DD" w:rsidRDefault="00BB70DD" w:rsidP="00BB70DD">
                            <w:pPr>
                              <w:pStyle w:val="ListParagraph"/>
                              <w:numPr>
                                <w:ilvl w:val="0"/>
                                <w:numId w:val="11"/>
                              </w:numPr>
                              <w:rPr>
                                <w:sz w:val="16"/>
                                <w:szCs w:val="16"/>
                              </w:rPr>
                            </w:pPr>
                            <w:r w:rsidRPr="00BB70DD">
                              <w:rPr>
                                <w:sz w:val="16"/>
                                <w:szCs w:val="16"/>
                              </w:rPr>
                              <w:t>The National Survey on Drug Use and Health: 2017</w:t>
                            </w:r>
                          </w:p>
                          <w:p w14:paraId="44EB5AD6" w14:textId="3342C145" w:rsidR="00BB70DD" w:rsidRPr="00BB70DD" w:rsidRDefault="00BB70DD" w:rsidP="00BB70DD">
                            <w:pPr>
                              <w:pStyle w:val="ListParagraph"/>
                              <w:numPr>
                                <w:ilvl w:val="0"/>
                                <w:numId w:val="11"/>
                              </w:numPr>
                              <w:rPr>
                                <w:sz w:val="16"/>
                                <w:szCs w:val="16"/>
                              </w:rPr>
                            </w:pPr>
                            <w:r w:rsidRPr="00BB70DD">
                              <w:rPr>
                                <w:sz w:val="16"/>
                                <w:szCs w:val="16"/>
                              </w:rPr>
                              <w:t xml:space="preserve">Boyd, CJ, et al. (2019). Severity of Alcohol, Tobacco, and Drug Use Disorders Among Sexual Minority Individuals and Their “Not Sure” Counterparts. </w:t>
                            </w:r>
                          </w:p>
                          <w:p w14:paraId="78FC18FB" w14:textId="77777777" w:rsidR="00BB70DD" w:rsidRPr="00BB70DD" w:rsidRDefault="00BB70DD" w:rsidP="00BB70DD">
                            <w:pPr>
                              <w:rPr>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13B9B" id="Text Box 37" o:spid="_x0000_s1027" type="#_x0000_t202" style="position:absolute;left:0;text-align:left;margin-left:18pt;margin-top:150pt;width:542.25pt;height:596.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" filled="f" fillcolor="#fffffe" stroked="f" strokecolor="#212120" insetpen="t">
                <v:textbox inset="2.88pt,2.88pt,2.88pt,2.88pt">
                  <w:txbxContent>
                    <w:p w14:paraId="6668785D" w14:textId="05C5312C" w:rsidR="003B5904" w:rsidRDefault="00BB70DD" w:rsidP="003B5904">
                      <w:pPr>
                        <w:pStyle w:val="Heading1"/>
                        <w:spacing w:line="240" w:lineRule="auto"/>
                        <w:rPr>
                          <w:sz w:val="56"/>
                          <w:szCs w:val="56"/>
                        </w:rPr>
                      </w:pPr>
                      <w:r>
                        <w:rPr>
                          <w:sz w:val="56"/>
                          <w:szCs w:val="56"/>
                        </w:rPr>
                        <w:t>Talking points and statistics</w:t>
                      </w:r>
                    </w:p>
                    <w:p w14:paraId="15ABDDA0" w14:textId="77777777" w:rsidR="00BB70DD" w:rsidRPr="00BB70DD" w:rsidRDefault="00BB70DD" w:rsidP="00BB70DD">
                      <w:pPr>
                        <w:pStyle w:val="ListParagraph"/>
                        <w:numPr>
                          <w:ilvl w:val="0"/>
                          <w:numId w:val="9"/>
                        </w:numPr>
                        <w:rPr>
                          <w:sz w:val="20"/>
                          <w:szCs w:val="20"/>
                        </w:rPr>
                      </w:pPr>
                      <w:r w:rsidRPr="00BB70DD">
                        <w:rPr>
                          <w:sz w:val="20"/>
                          <w:szCs w:val="20"/>
                        </w:rPr>
                        <w:t>Per a 2017 Gallop Poll, the percentage of adult Americans identifying as LGBTQ is steadily rising: 3.5% (2012) to 4.5% (2017). This increase has been driven almost entirely by millennials whose reports of being LGBT have risen from 5.2% six years ago to 8.1% today.</w:t>
                      </w:r>
                    </w:p>
                    <w:p w14:paraId="79C2F7B8" w14:textId="77777777" w:rsidR="00BB70DD" w:rsidRPr="00BB70DD" w:rsidRDefault="00BB70DD" w:rsidP="00BB70DD">
                      <w:pPr>
                        <w:pStyle w:val="ListParagraph"/>
                        <w:numPr>
                          <w:ilvl w:val="0"/>
                          <w:numId w:val="9"/>
                        </w:numPr>
                        <w:rPr>
                          <w:sz w:val="20"/>
                          <w:szCs w:val="20"/>
                        </w:rPr>
                      </w:pPr>
                      <w:r w:rsidRPr="00BB70DD">
                        <w:rPr>
                          <w:sz w:val="20"/>
                          <w:szCs w:val="20"/>
                        </w:rPr>
                        <w:t>Maine has a higher percentage of LGBTQ adults (4.9%) compared with the rising national average (4.5%); and 21% of LGBTQ adults in Maine are raising children</w:t>
                      </w:r>
                      <w:r w:rsidRPr="00BB70DD">
                        <w:rPr>
                          <w:sz w:val="20"/>
                          <w:szCs w:val="20"/>
                          <w:vertAlign w:val="superscript"/>
                        </w:rPr>
                        <w:t>4</w:t>
                      </w:r>
                    </w:p>
                    <w:p w14:paraId="4D8054DA" w14:textId="77777777" w:rsidR="00BB70DD" w:rsidRPr="00BB70DD" w:rsidRDefault="00BB70DD" w:rsidP="00BB70DD">
                      <w:pPr>
                        <w:pStyle w:val="ListParagraph"/>
                        <w:numPr>
                          <w:ilvl w:val="0"/>
                          <w:numId w:val="9"/>
                        </w:numPr>
                        <w:rPr>
                          <w:sz w:val="20"/>
                          <w:szCs w:val="20"/>
                        </w:rPr>
                      </w:pPr>
                      <w:r w:rsidRPr="00BB70DD">
                        <w:rPr>
                          <w:sz w:val="20"/>
                          <w:szCs w:val="20"/>
                        </w:rPr>
                        <w:t>56% of lesbian, gay, and bisexual people report experiences of serious discrimination in healthcare, while 70% of transgender people report serious discrimination (reporting at least one of the following: healthcare professionals refusing to provide needed care, refusing to touch them or using excessive precautions, using harsh or abusive language, blaming them for their health status, or being physically rough or abusive)</w:t>
                      </w:r>
                      <w:r w:rsidRPr="00BB70DD">
                        <w:rPr>
                          <w:sz w:val="20"/>
                          <w:szCs w:val="20"/>
                          <w:vertAlign w:val="superscript"/>
                        </w:rPr>
                        <w:t>5</w:t>
                      </w:r>
                    </w:p>
                    <w:p w14:paraId="2183FE65" w14:textId="77777777" w:rsidR="00BB70DD" w:rsidRPr="00BB70DD" w:rsidRDefault="00BB70DD" w:rsidP="00BB70DD">
                      <w:pPr>
                        <w:pStyle w:val="ListParagraph"/>
                        <w:numPr>
                          <w:ilvl w:val="0"/>
                          <w:numId w:val="9"/>
                        </w:numPr>
                        <w:rPr>
                          <w:sz w:val="20"/>
                          <w:szCs w:val="20"/>
                        </w:rPr>
                      </w:pPr>
                      <w:r w:rsidRPr="00BB70DD">
                        <w:rPr>
                          <w:sz w:val="20"/>
                          <w:szCs w:val="20"/>
                        </w:rPr>
                        <w:t>CMS and The Joint Commission have issued requirements for LGBTQ equity and inclusion, and expert recommendations have now emerged for LGBTQ patient-centered care.</w:t>
                      </w:r>
                    </w:p>
                    <w:p w14:paraId="05EEFF37" w14:textId="77777777" w:rsidR="00BB70DD" w:rsidRPr="00BB70DD" w:rsidRDefault="00BB70DD" w:rsidP="00BB70DD">
                      <w:pPr>
                        <w:pStyle w:val="ListParagraph"/>
                        <w:numPr>
                          <w:ilvl w:val="0"/>
                          <w:numId w:val="9"/>
                        </w:numPr>
                        <w:rPr>
                          <w:sz w:val="20"/>
                          <w:szCs w:val="20"/>
                        </w:rPr>
                      </w:pPr>
                      <w:r w:rsidRPr="00BB70DD">
                        <w:rPr>
                          <w:sz w:val="20"/>
                          <w:szCs w:val="20"/>
                        </w:rPr>
                        <w:t>Among transgender adults, the lifetime prevalence of suicide attempts is 40%</w:t>
                      </w:r>
                      <w:r w:rsidRPr="00BB70DD">
                        <w:rPr>
                          <w:sz w:val="20"/>
                          <w:szCs w:val="20"/>
                          <w:vertAlign w:val="superscript"/>
                        </w:rPr>
                        <w:t>1</w:t>
                      </w:r>
                    </w:p>
                    <w:p w14:paraId="4FCB1796" w14:textId="77777777" w:rsidR="00BB70DD" w:rsidRPr="00BB70DD" w:rsidRDefault="00BB70DD" w:rsidP="00BB70DD">
                      <w:pPr>
                        <w:pStyle w:val="ListParagraph"/>
                        <w:numPr>
                          <w:ilvl w:val="0"/>
                          <w:numId w:val="9"/>
                        </w:numPr>
                        <w:rPr>
                          <w:sz w:val="20"/>
                          <w:szCs w:val="20"/>
                        </w:rPr>
                      </w:pPr>
                      <w:r w:rsidRPr="00BB70DD">
                        <w:rPr>
                          <w:sz w:val="20"/>
                          <w:szCs w:val="20"/>
                        </w:rPr>
                        <w:t>Lesbian, gay, and bisexual adults have a two-fold risk of suicide attempts compared to heterosexual adults</w:t>
                      </w:r>
                      <w:r w:rsidRPr="00BB70DD">
                        <w:rPr>
                          <w:sz w:val="20"/>
                          <w:szCs w:val="20"/>
                          <w:vertAlign w:val="superscript"/>
                        </w:rPr>
                        <w:t>2</w:t>
                      </w:r>
                    </w:p>
                    <w:p w14:paraId="3CF8D612" w14:textId="77777777" w:rsidR="00BB70DD" w:rsidRPr="00BB70DD" w:rsidRDefault="00BB70DD" w:rsidP="00BB70DD">
                      <w:pPr>
                        <w:pStyle w:val="ListParagraph"/>
                        <w:numPr>
                          <w:ilvl w:val="0"/>
                          <w:numId w:val="9"/>
                        </w:numPr>
                        <w:rPr>
                          <w:sz w:val="20"/>
                          <w:szCs w:val="20"/>
                        </w:rPr>
                      </w:pPr>
                      <w:r w:rsidRPr="00BB70DD">
                        <w:rPr>
                          <w:sz w:val="20"/>
                          <w:szCs w:val="20"/>
                        </w:rPr>
                        <w:t>Lesbian and gay individuals are twice as likely to have a substance use disorder compared to heterosexual counterparts; bisexual persons are three times as likely to have a SUD; and those that are “unsure” of how to identify are five times as likely to have a SUD.</w:t>
                      </w:r>
                      <w:r w:rsidRPr="00BB70DD">
                        <w:rPr>
                          <w:sz w:val="20"/>
                          <w:szCs w:val="20"/>
                          <w:vertAlign w:val="superscript"/>
                        </w:rPr>
                        <w:t>6,7</w:t>
                      </w:r>
                    </w:p>
                    <w:p w14:paraId="22D2FBE2" w14:textId="77777777" w:rsidR="00BB70DD" w:rsidRPr="00BB70DD" w:rsidRDefault="00BB70DD" w:rsidP="00BB70DD">
                      <w:pPr>
                        <w:pStyle w:val="ListParagraph"/>
                        <w:numPr>
                          <w:ilvl w:val="0"/>
                          <w:numId w:val="9"/>
                        </w:numPr>
                        <w:rPr>
                          <w:sz w:val="20"/>
                          <w:szCs w:val="20"/>
                        </w:rPr>
                      </w:pPr>
                      <w:r w:rsidRPr="00BB70DD">
                        <w:rPr>
                          <w:sz w:val="20"/>
                          <w:szCs w:val="20"/>
                        </w:rPr>
                        <w:t>LGBTQ youth comprise approximately 40% of the homeless youth population</w:t>
                      </w:r>
                    </w:p>
                    <w:p w14:paraId="1B57B2FE" w14:textId="77777777" w:rsidR="00BB70DD" w:rsidRPr="00BB70DD" w:rsidRDefault="00BB70DD" w:rsidP="00BB70DD">
                      <w:pPr>
                        <w:pStyle w:val="ListParagraph"/>
                        <w:numPr>
                          <w:ilvl w:val="0"/>
                          <w:numId w:val="9"/>
                        </w:numPr>
                        <w:rPr>
                          <w:sz w:val="20"/>
                          <w:szCs w:val="20"/>
                        </w:rPr>
                      </w:pPr>
                      <w:r w:rsidRPr="00BB70DD">
                        <w:rPr>
                          <w:sz w:val="20"/>
                          <w:szCs w:val="20"/>
                        </w:rPr>
                        <w:t>Factors that strongly protect LGBTQ people, especially youth, against depression and suicidal behavior include access to and use of LGBTQ inclusive medical and mental health</w:t>
                      </w:r>
                      <w:r w:rsidRPr="00BB70DD">
                        <w:rPr>
                          <w:sz w:val="20"/>
                          <w:szCs w:val="20"/>
                          <w:vertAlign w:val="superscript"/>
                        </w:rPr>
                        <w:t>3</w:t>
                      </w:r>
                    </w:p>
                    <w:p w14:paraId="50ACEAE7" w14:textId="1AE34195" w:rsidR="00BB70DD" w:rsidRPr="00BB70DD" w:rsidRDefault="00BB70DD" w:rsidP="00BB70DD">
                      <w:pPr>
                        <w:pStyle w:val="ListParagraph"/>
                        <w:numPr>
                          <w:ilvl w:val="0"/>
                          <w:numId w:val="9"/>
                        </w:numPr>
                        <w:rPr>
                          <w:sz w:val="20"/>
                          <w:szCs w:val="20"/>
                        </w:rPr>
                      </w:pPr>
                      <w:r w:rsidRPr="00BB70DD">
                        <w:rPr>
                          <w:sz w:val="20"/>
                          <w:szCs w:val="20"/>
                        </w:rPr>
                        <w:t>Resiliency factors can be enhanced through access to LGBTQ-affirming counseling and therapy, medical care, and LGBTQ-specific resources</w:t>
                      </w:r>
                      <w:r w:rsidRPr="00BB70DD">
                        <w:rPr>
                          <w:sz w:val="20"/>
                          <w:szCs w:val="20"/>
                          <w:vertAlign w:val="superscript"/>
                        </w:rPr>
                        <w:t>3</w:t>
                      </w:r>
                    </w:p>
                    <w:p w14:paraId="1BE00CF0" w14:textId="77777777" w:rsidR="00BB70DD" w:rsidRPr="00BB70DD" w:rsidRDefault="00BB70DD" w:rsidP="00BB70DD">
                      <w:pPr>
                        <w:rPr>
                          <w:sz w:val="20"/>
                          <w:szCs w:val="20"/>
                        </w:rPr>
                      </w:pPr>
                      <w:r w:rsidRPr="00BB70DD">
                        <w:rPr>
                          <w:sz w:val="20"/>
                          <w:szCs w:val="20"/>
                        </w:rPr>
                        <w:t>Takeaways</w:t>
                      </w:r>
                    </w:p>
                    <w:p w14:paraId="36B0E434" w14:textId="77777777" w:rsidR="00BB70DD" w:rsidRPr="00BB70DD" w:rsidRDefault="00BB70DD" w:rsidP="00BB70DD">
                      <w:pPr>
                        <w:pStyle w:val="ListParagraph"/>
                        <w:numPr>
                          <w:ilvl w:val="0"/>
                          <w:numId w:val="10"/>
                        </w:numPr>
                        <w:rPr>
                          <w:sz w:val="20"/>
                          <w:szCs w:val="20"/>
                        </w:rPr>
                      </w:pPr>
                      <w:r w:rsidRPr="00BB70DD">
                        <w:rPr>
                          <w:sz w:val="20"/>
                          <w:szCs w:val="20"/>
                        </w:rPr>
                        <w:t>The prevalence of LGBTQ Americans is steadily rising</w:t>
                      </w:r>
                    </w:p>
                    <w:p w14:paraId="0C165952" w14:textId="77777777" w:rsidR="00BB70DD" w:rsidRPr="00BB70DD" w:rsidRDefault="00BB70DD" w:rsidP="00BB70DD">
                      <w:pPr>
                        <w:pStyle w:val="ListParagraph"/>
                        <w:numPr>
                          <w:ilvl w:val="0"/>
                          <w:numId w:val="10"/>
                        </w:numPr>
                        <w:rPr>
                          <w:sz w:val="20"/>
                          <w:szCs w:val="20"/>
                        </w:rPr>
                      </w:pPr>
                      <w:r w:rsidRPr="00BB70DD">
                        <w:rPr>
                          <w:sz w:val="20"/>
                          <w:szCs w:val="20"/>
                        </w:rPr>
                        <w:t xml:space="preserve">Maine has a higher prevalence of LGBTQ individuals </w:t>
                      </w:r>
                    </w:p>
                    <w:p w14:paraId="27F5C499" w14:textId="77777777" w:rsidR="00BB70DD" w:rsidRPr="00BB70DD" w:rsidRDefault="00BB70DD" w:rsidP="00BB70DD">
                      <w:pPr>
                        <w:pStyle w:val="ListParagraph"/>
                        <w:numPr>
                          <w:ilvl w:val="0"/>
                          <w:numId w:val="10"/>
                        </w:numPr>
                        <w:rPr>
                          <w:sz w:val="20"/>
                          <w:szCs w:val="20"/>
                        </w:rPr>
                      </w:pPr>
                      <w:r w:rsidRPr="00BB70DD">
                        <w:rPr>
                          <w:sz w:val="20"/>
                          <w:szCs w:val="20"/>
                        </w:rPr>
                        <w:t>LGBTQ persons face serious healthcare discrimination</w:t>
                      </w:r>
                    </w:p>
                    <w:p w14:paraId="1DC3FD8E" w14:textId="77777777" w:rsidR="00BB70DD" w:rsidRPr="00BB70DD" w:rsidRDefault="00BB70DD" w:rsidP="00BB70DD">
                      <w:pPr>
                        <w:pStyle w:val="ListParagraph"/>
                        <w:numPr>
                          <w:ilvl w:val="0"/>
                          <w:numId w:val="10"/>
                        </w:numPr>
                        <w:rPr>
                          <w:sz w:val="20"/>
                          <w:szCs w:val="20"/>
                        </w:rPr>
                      </w:pPr>
                      <w:r w:rsidRPr="00BB70DD">
                        <w:rPr>
                          <w:sz w:val="20"/>
                          <w:szCs w:val="20"/>
                        </w:rPr>
                        <w:t>LGBTQ persons have significantly higher rates of homelessness, SUD’s, suicide attempts, and mental health comorbidities – this directly impacts NLH Acadia Hospital’s patient cohort</w:t>
                      </w:r>
                    </w:p>
                    <w:p w14:paraId="0DD4FE53" w14:textId="572767BF" w:rsidR="00BB70DD" w:rsidRPr="00BB70DD" w:rsidRDefault="00BB70DD" w:rsidP="00BB70DD">
                      <w:pPr>
                        <w:pStyle w:val="ListParagraph"/>
                        <w:numPr>
                          <w:ilvl w:val="0"/>
                          <w:numId w:val="10"/>
                        </w:numPr>
                        <w:rPr>
                          <w:sz w:val="20"/>
                          <w:szCs w:val="20"/>
                        </w:rPr>
                      </w:pPr>
                      <w:r w:rsidRPr="00BB70DD">
                        <w:rPr>
                          <w:sz w:val="20"/>
                          <w:szCs w:val="20"/>
                        </w:rPr>
                        <w:t>Implementing LQBTQ specific policies increases access to healthcare and improves patient outcomes</w:t>
                      </w:r>
                    </w:p>
                    <w:p w14:paraId="52B0F4C7" w14:textId="77777777" w:rsidR="00BB70DD" w:rsidRDefault="00BB70DD" w:rsidP="00BB70DD">
                      <w:pPr>
                        <w:spacing w:after="0"/>
                        <w:rPr>
                          <w:sz w:val="18"/>
                          <w:szCs w:val="18"/>
                        </w:rPr>
                      </w:pPr>
                    </w:p>
                    <w:p w14:paraId="147F3288" w14:textId="015FC90F" w:rsidR="00BB70DD" w:rsidRPr="00BB70DD" w:rsidRDefault="00BB70DD" w:rsidP="00BB70DD">
                      <w:pPr>
                        <w:spacing w:after="0"/>
                        <w:rPr>
                          <w:sz w:val="18"/>
                          <w:szCs w:val="18"/>
                        </w:rPr>
                      </w:pPr>
                      <w:r w:rsidRPr="00BB70DD">
                        <w:rPr>
                          <w:sz w:val="18"/>
                          <w:szCs w:val="18"/>
                        </w:rPr>
                        <w:t>References</w:t>
                      </w:r>
                    </w:p>
                    <w:p w14:paraId="63CA2884" w14:textId="77777777" w:rsidR="00BB70DD" w:rsidRDefault="00BB70DD" w:rsidP="00BB70DD">
                      <w:pPr>
                        <w:pStyle w:val="ListParagraph"/>
                        <w:numPr>
                          <w:ilvl w:val="0"/>
                          <w:numId w:val="11"/>
                        </w:numPr>
                        <w:rPr>
                          <w:sz w:val="16"/>
                          <w:szCs w:val="16"/>
                        </w:rPr>
                      </w:pPr>
                      <w:r w:rsidRPr="00BB70DD">
                        <w:rPr>
                          <w:sz w:val="16"/>
                          <w:szCs w:val="16"/>
                        </w:rPr>
                        <w:t>James S, Herman JL, Rankin S, et al. The Report of the 2015 U.S. Transgender Survey. Washington, DC: National Center for Transgender Equality;2016.</w:t>
                      </w:r>
                    </w:p>
                    <w:p w14:paraId="613616D6" w14:textId="77777777" w:rsidR="00BB70DD" w:rsidRDefault="00BB70DD" w:rsidP="00BB70DD">
                      <w:pPr>
                        <w:pStyle w:val="ListParagraph"/>
                        <w:numPr>
                          <w:ilvl w:val="0"/>
                          <w:numId w:val="11"/>
                        </w:numPr>
                        <w:rPr>
                          <w:sz w:val="16"/>
                          <w:szCs w:val="16"/>
                        </w:rPr>
                      </w:pPr>
                      <w:r w:rsidRPr="00BB70DD">
                        <w:rPr>
                          <w:sz w:val="16"/>
                          <w:szCs w:val="16"/>
                        </w:rPr>
                        <w:t xml:space="preserve">King M, </w:t>
                      </w:r>
                      <w:proofErr w:type="spellStart"/>
                      <w:r w:rsidRPr="00BB70DD">
                        <w:rPr>
                          <w:sz w:val="16"/>
                          <w:szCs w:val="16"/>
                        </w:rPr>
                        <w:t>Semlyen</w:t>
                      </w:r>
                      <w:proofErr w:type="spellEnd"/>
                      <w:r w:rsidRPr="00BB70DD">
                        <w:rPr>
                          <w:sz w:val="16"/>
                          <w:szCs w:val="16"/>
                        </w:rPr>
                        <w:t xml:space="preserve"> J, Tai SS, et al. A systematic review of mental disorder, suicide, and deliberate </w:t>
                      </w:r>
                      <w:proofErr w:type="spellStart"/>
                      <w:r w:rsidRPr="00BB70DD">
                        <w:rPr>
                          <w:sz w:val="16"/>
                          <w:szCs w:val="16"/>
                        </w:rPr>
                        <w:t>self harm</w:t>
                      </w:r>
                      <w:proofErr w:type="spellEnd"/>
                      <w:r w:rsidRPr="00BB70DD">
                        <w:rPr>
                          <w:sz w:val="16"/>
                          <w:szCs w:val="16"/>
                        </w:rPr>
                        <w:t xml:space="preserve"> in lesbian, gay and bisexual people. BMC Psychiatry. </w:t>
                      </w:r>
                      <w:proofErr w:type="gramStart"/>
                      <w:r w:rsidRPr="00BB70DD">
                        <w:rPr>
                          <w:sz w:val="16"/>
                          <w:szCs w:val="16"/>
                        </w:rPr>
                        <w:t>2008;8:70</w:t>
                      </w:r>
                      <w:proofErr w:type="gramEnd"/>
                      <w:r w:rsidRPr="00BB70DD">
                        <w:rPr>
                          <w:sz w:val="16"/>
                          <w:szCs w:val="16"/>
                        </w:rPr>
                        <w:t>.</w:t>
                      </w:r>
                    </w:p>
                    <w:p w14:paraId="2262AEDB" w14:textId="77777777" w:rsidR="00BB70DD" w:rsidRDefault="00BB70DD" w:rsidP="00BB70DD">
                      <w:pPr>
                        <w:pStyle w:val="ListParagraph"/>
                        <w:numPr>
                          <w:ilvl w:val="0"/>
                          <w:numId w:val="11"/>
                        </w:numPr>
                        <w:rPr>
                          <w:sz w:val="16"/>
                          <w:szCs w:val="16"/>
                        </w:rPr>
                      </w:pPr>
                      <w:proofErr w:type="spellStart"/>
                      <w:r w:rsidRPr="00BB70DD">
                        <w:rPr>
                          <w:sz w:val="16"/>
                          <w:szCs w:val="16"/>
                        </w:rPr>
                        <w:t>Bockting</w:t>
                      </w:r>
                      <w:proofErr w:type="spellEnd"/>
                      <w:r w:rsidRPr="00BB70DD">
                        <w:rPr>
                          <w:sz w:val="16"/>
                          <w:szCs w:val="16"/>
                        </w:rPr>
                        <w:t xml:space="preserve"> W, Coleman E, Deutsch MB, et al. Adult development and quality of life of transgender and gender nonconforming people. </w:t>
                      </w:r>
                      <w:proofErr w:type="spellStart"/>
                      <w:r w:rsidRPr="00BB70DD">
                        <w:rPr>
                          <w:sz w:val="16"/>
                          <w:szCs w:val="16"/>
                        </w:rPr>
                        <w:t>Curr</w:t>
                      </w:r>
                      <w:proofErr w:type="spellEnd"/>
                      <w:r w:rsidRPr="00BB70DD">
                        <w:rPr>
                          <w:sz w:val="16"/>
                          <w:szCs w:val="16"/>
                        </w:rPr>
                        <w:t xml:space="preserve"> </w:t>
                      </w:r>
                      <w:proofErr w:type="spellStart"/>
                      <w:r w:rsidRPr="00BB70DD">
                        <w:rPr>
                          <w:sz w:val="16"/>
                          <w:szCs w:val="16"/>
                        </w:rPr>
                        <w:t>Opin</w:t>
                      </w:r>
                      <w:proofErr w:type="spellEnd"/>
                      <w:r w:rsidRPr="00BB70DD">
                        <w:rPr>
                          <w:sz w:val="16"/>
                          <w:szCs w:val="16"/>
                        </w:rPr>
                        <w:t xml:space="preserve"> Endocrinol Diabetes </w:t>
                      </w:r>
                      <w:proofErr w:type="spellStart"/>
                      <w:r w:rsidRPr="00BB70DD">
                        <w:rPr>
                          <w:sz w:val="16"/>
                          <w:szCs w:val="16"/>
                        </w:rPr>
                        <w:t>Obes</w:t>
                      </w:r>
                      <w:proofErr w:type="spellEnd"/>
                      <w:r w:rsidRPr="00BB70DD">
                        <w:rPr>
                          <w:sz w:val="16"/>
                          <w:szCs w:val="16"/>
                        </w:rPr>
                        <w:t xml:space="preserve">. 2016;23(2):188-197. </w:t>
                      </w:r>
                    </w:p>
                    <w:p w14:paraId="475B3D84" w14:textId="77777777" w:rsidR="00BB70DD" w:rsidRDefault="00BB70DD" w:rsidP="00BB70DD">
                      <w:pPr>
                        <w:pStyle w:val="ListParagraph"/>
                        <w:numPr>
                          <w:ilvl w:val="0"/>
                          <w:numId w:val="11"/>
                        </w:numPr>
                        <w:rPr>
                          <w:sz w:val="16"/>
                          <w:szCs w:val="16"/>
                        </w:rPr>
                      </w:pPr>
                      <w:r w:rsidRPr="00BB70DD">
                        <w:rPr>
                          <w:sz w:val="16"/>
                          <w:szCs w:val="16"/>
                        </w:rPr>
                        <w:t>LGBT Demographic Interactive. (January 2019). Los Angeles, CA: The Williams Institute, UCLA School of Law.</w:t>
                      </w:r>
                    </w:p>
                    <w:p w14:paraId="23612AAC" w14:textId="1FB614CF" w:rsidR="00BB70DD" w:rsidRDefault="00BB70DD" w:rsidP="00BB70DD">
                      <w:pPr>
                        <w:pStyle w:val="ListParagraph"/>
                        <w:numPr>
                          <w:ilvl w:val="0"/>
                          <w:numId w:val="11"/>
                        </w:numPr>
                        <w:rPr>
                          <w:sz w:val="16"/>
                          <w:szCs w:val="16"/>
                        </w:rPr>
                      </w:pPr>
                      <w:r w:rsidRPr="00BB70DD">
                        <w:rPr>
                          <w:sz w:val="16"/>
                          <w:szCs w:val="16"/>
                        </w:rPr>
                        <w:t xml:space="preserve">When Health Care Isn’t Caring: Lambda </w:t>
                      </w:r>
                      <w:proofErr w:type="spellStart"/>
                      <w:r w:rsidRPr="00BB70DD">
                        <w:rPr>
                          <w:sz w:val="16"/>
                          <w:szCs w:val="16"/>
                        </w:rPr>
                        <w:t>Legal’s</w:t>
                      </w:r>
                      <w:proofErr w:type="spellEnd"/>
                      <w:r w:rsidRPr="00BB70DD">
                        <w:rPr>
                          <w:sz w:val="16"/>
                          <w:szCs w:val="16"/>
                        </w:rPr>
                        <w:t xml:space="preserve"> Survey of Discrimination Against LGBT People and People with </w:t>
                      </w:r>
                      <w:proofErr w:type="gramStart"/>
                      <w:r w:rsidRPr="00BB70DD">
                        <w:rPr>
                          <w:sz w:val="16"/>
                          <w:szCs w:val="16"/>
                        </w:rPr>
                        <w:t>HIV.</w:t>
                      </w:r>
                      <w:proofErr w:type="gramEnd"/>
                      <w:r w:rsidRPr="00BB70DD">
                        <w:rPr>
                          <w:sz w:val="16"/>
                          <w:szCs w:val="16"/>
                        </w:rPr>
                        <w:t xml:space="preserve"> New York: Lambda Legal, 2010. Available at: </w:t>
                      </w:r>
                      <w:hyperlink r:id="rId8" w:history="1">
                        <w:r w:rsidRPr="007A1EE4">
                          <w:rPr>
                            <w:rStyle w:val="Hyperlink"/>
                            <w:sz w:val="16"/>
                            <w:szCs w:val="16"/>
                          </w:rPr>
                          <w:t>http://www.lambdalegal.org/publications/when-health-care-isnt-caring</w:t>
                        </w:r>
                      </w:hyperlink>
                    </w:p>
                    <w:p w14:paraId="22FD30AF" w14:textId="77777777" w:rsidR="00BB70DD" w:rsidRDefault="00BB70DD" w:rsidP="00BB70DD">
                      <w:pPr>
                        <w:pStyle w:val="ListParagraph"/>
                        <w:numPr>
                          <w:ilvl w:val="0"/>
                          <w:numId w:val="11"/>
                        </w:numPr>
                        <w:rPr>
                          <w:sz w:val="16"/>
                          <w:szCs w:val="16"/>
                        </w:rPr>
                      </w:pPr>
                      <w:r w:rsidRPr="00BB70DD">
                        <w:rPr>
                          <w:sz w:val="16"/>
                          <w:szCs w:val="16"/>
                        </w:rPr>
                        <w:t>The National Survey on Drug Use and Health: 2017</w:t>
                      </w:r>
                    </w:p>
                    <w:p w14:paraId="44EB5AD6" w14:textId="3342C145" w:rsidR="00BB70DD" w:rsidRPr="00BB70DD" w:rsidRDefault="00BB70DD" w:rsidP="00BB70DD">
                      <w:pPr>
                        <w:pStyle w:val="ListParagraph"/>
                        <w:numPr>
                          <w:ilvl w:val="0"/>
                          <w:numId w:val="11"/>
                        </w:numPr>
                        <w:rPr>
                          <w:sz w:val="16"/>
                          <w:szCs w:val="16"/>
                        </w:rPr>
                      </w:pPr>
                      <w:r w:rsidRPr="00BB70DD">
                        <w:rPr>
                          <w:sz w:val="16"/>
                          <w:szCs w:val="16"/>
                        </w:rPr>
                        <w:t xml:space="preserve">Boyd, CJ, et al. (2019). Severity of Alcohol, Tobacco, and Drug Use Disorders Among Sexual Minority Individuals and Their “Not Sure” Counterparts. </w:t>
                      </w:r>
                    </w:p>
                    <w:p w14:paraId="78FC18FB" w14:textId="77777777" w:rsidR="00BB70DD" w:rsidRPr="00BB70DD" w:rsidRDefault="00BB70DD" w:rsidP="00BB70DD">
                      <w:pPr>
                        <w:rPr>
                          <w:sz w:val="18"/>
                          <w:szCs w:val="18"/>
                        </w:rPr>
                      </w:pPr>
                    </w:p>
                  </w:txbxContent>
                </v:textbox>
                <w10:wrap anchorx="margin"/>
              </v:shape>
            </w:pict>
          </mc:Fallback>
        </mc:AlternateContent>
      </w:r>
      <w:r w:rsidRPr="00007B1D">
        <w:rPr>
          <w:noProof/>
        </w:rPr>
        <w:drawing>
          <wp:anchor distT="36576" distB="36576" distL="36576" distR="36576" simplePos="0" relativeHeight="251741184" behindDoc="0" locked="0" layoutInCell="1" allowOverlap="1" wp14:anchorId="53D3D56B" wp14:editId="42602B93">
            <wp:simplePos x="0" y="0"/>
            <wp:positionH relativeFrom="margin">
              <wp:posOffset>6619875</wp:posOffset>
            </wp:positionH>
            <wp:positionV relativeFrom="page">
              <wp:posOffset>2990850</wp:posOffset>
            </wp:positionV>
            <wp:extent cx="2162175" cy="419798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amic\Desktop\TC999D\TC9990301D-PB\TC9990301-IMG06.jpg"/>
                    <pic:cNvPicPr preferRelativeResize="0">
                      <a:picLocks noChangeAspect="1" noChangeArrowheads="1"/>
                    </pic:cNvPicPr>
                  </pic:nvPicPr>
                  <pic:blipFill rotWithShape="1">
                    <a:blip r:embed="rId9" cstate="print">
                      <a:alphaModFix amt="5000"/>
                      <a:extLst>
                        <a:ext uri="{28A0092B-C50C-407E-A947-70E740481C1C}">
                          <a14:useLocalDpi xmlns:a14="http://schemas.microsoft.com/office/drawing/2010/main" val="0"/>
                        </a:ext>
                      </a:extLst>
                    </a:blip>
                    <a:srcRect r="47884"/>
                    <a:stretch/>
                  </pic:blipFill>
                  <pic:spPr bwMode="auto">
                    <a:xfrm>
                      <a:off x="0" y="0"/>
                      <a:ext cx="2162175" cy="419798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48B4">
        <w:rPr>
          <w:noProof/>
        </w:rPr>
        <w:drawing>
          <wp:inline distT="0" distB="0" distL="0" distR="0" wp14:anchorId="2EAB8933" wp14:editId="380AD702">
            <wp:extent cx="6861396" cy="1805286"/>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de_month20_Banners_V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0192" cy="1828649"/>
                    </a:xfrm>
                    <a:prstGeom prst="rect">
                      <a:avLst/>
                    </a:prstGeom>
                  </pic:spPr>
                </pic:pic>
              </a:graphicData>
            </a:graphic>
          </wp:inline>
        </w:drawing>
      </w:r>
    </w:p>
    <w:sectPr w:rsidR="005855A2" w:rsidSect="002248B4">
      <w:pgSz w:w="12240" w:h="15840"/>
      <w:pgMar w:top="450" w:right="360" w:bottom="36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AB78" w14:textId="77777777" w:rsidR="005855A2" w:rsidRDefault="005855A2" w:rsidP="00AA544E">
      <w:pPr>
        <w:spacing w:after="0" w:line="240" w:lineRule="auto"/>
      </w:pPr>
      <w:r>
        <w:separator/>
      </w:r>
    </w:p>
  </w:endnote>
  <w:endnote w:type="continuationSeparator" w:id="0">
    <w:p w14:paraId="1D1A9461" w14:textId="77777777" w:rsidR="005855A2" w:rsidRDefault="005855A2"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ightSans Pro Book">
    <w:altName w:val="FreightSans Pro Book"/>
    <w:panose1 w:val="02000606030000020004"/>
    <w:charset w:val="00"/>
    <w:family w:val="modern"/>
    <w:notTrueType/>
    <w:pitch w:val="variable"/>
    <w:sig w:usb0="A000002F" w:usb1="500004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8F7FD" w14:textId="77777777" w:rsidR="005855A2" w:rsidRDefault="005855A2" w:rsidP="00AA544E">
      <w:pPr>
        <w:spacing w:after="0" w:line="240" w:lineRule="auto"/>
      </w:pPr>
      <w:r>
        <w:separator/>
      </w:r>
    </w:p>
  </w:footnote>
  <w:footnote w:type="continuationSeparator" w:id="0">
    <w:p w14:paraId="47DEB55D" w14:textId="77777777" w:rsidR="005855A2" w:rsidRDefault="005855A2"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875"/>
    <w:multiLevelType w:val="hybridMultilevel"/>
    <w:tmpl w:val="C6E60382"/>
    <w:lvl w:ilvl="0" w:tplc="071ABE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3680F"/>
    <w:multiLevelType w:val="hybridMultilevel"/>
    <w:tmpl w:val="042445DE"/>
    <w:lvl w:ilvl="0" w:tplc="C21E6C30">
      <w:numFmt w:val="bullet"/>
      <w:pStyle w:val="NLHBulletGrid"/>
      <w:lvlText w:val="•"/>
      <w:lvlJc w:val="left"/>
      <w:pPr>
        <w:ind w:left="3832" w:hanging="238"/>
      </w:pPr>
      <w:rPr>
        <w:rFonts w:ascii="Calibri Light" w:eastAsiaTheme="minorHAnsi" w:hAnsi="Calibri Light" w:hint="default"/>
      </w:rPr>
    </w:lvl>
    <w:lvl w:ilvl="1" w:tplc="04090003" w:tentative="1">
      <w:start w:val="1"/>
      <w:numFmt w:val="bullet"/>
      <w:lvlText w:val="o"/>
      <w:lvlJc w:val="left"/>
      <w:pPr>
        <w:ind w:left="4552" w:hanging="360"/>
      </w:pPr>
      <w:rPr>
        <w:rFonts w:ascii="Courier New" w:hAnsi="Courier New" w:cs="Courier New" w:hint="default"/>
      </w:rPr>
    </w:lvl>
    <w:lvl w:ilvl="2" w:tplc="04090005" w:tentative="1">
      <w:start w:val="1"/>
      <w:numFmt w:val="bullet"/>
      <w:lvlText w:val=""/>
      <w:lvlJc w:val="left"/>
      <w:pPr>
        <w:ind w:left="5272" w:hanging="360"/>
      </w:pPr>
      <w:rPr>
        <w:rFonts w:ascii="Wingdings" w:hAnsi="Wingdings" w:hint="default"/>
      </w:rPr>
    </w:lvl>
    <w:lvl w:ilvl="3" w:tplc="04090001" w:tentative="1">
      <w:start w:val="1"/>
      <w:numFmt w:val="bullet"/>
      <w:lvlText w:val=""/>
      <w:lvlJc w:val="left"/>
      <w:pPr>
        <w:ind w:left="5992" w:hanging="360"/>
      </w:pPr>
      <w:rPr>
        <w:rFonts w:ascii="Symbol" w:hAnsi="Symbol" w:hint="default"/>
      </w:rPr>
    </w:lvl>
    <w:lvl w:ilvl="4" w:tplc="04090003" w:tentative="1">
      <w:start w:val="1"/>
      <w:numFmt w:val="bullet"/>
      <w:lvlText w:val="o"/>
      <w:lvlJc w:val="left"/>
      <w:pPr>
        <w:ind w:left="6712" w:hanging="360"/>
      </w:pPr>
      <w:rPr>
        <w:rFonts w:ascii="Courier New" w:hAnsi="Courier New" w:cs="Courier New" w:hint="default"/>
      </w:rPr>
    </w:lvl>
    <w:lvl w:ilvl="5" w:tplc="04090005" w:tentative="1">
      <w:start w:val="1"/>
      <w:numFmt w:val="bullet"/>
      <w:lvlText w:val=""/>
      <w:lvlJc w:val="left"/>
      <w:pPr>
        <w:ind w:left="7432" w:hanging="360"/>
      </w:pPr>
      <w:rPr>
        <w:rFonts w:ascii="Wingdings" w:hAnsi="Wingdings" w:hint="default"/>
      </w:rPr>
    </w:lvl>
    <w:lvl w:ilvl="6" w:tplc="04090001" w:tentative="1">
      <w:start w:val="1"/>
      <w:numFmt w:val="bullet"/>
      <w:lvlText w:val=""/>
      <w:lvlJc w:val="left"/>
      <w:pPr>
        <w:ind w:left="8152" w:hanging="360"/>
      </w:pPr>
      <w:rPr>
        <w:rFonts w:ascii="Symbol" w:hAnsi="Symbol" w:hint="default"/>
      </w:rPr>
    </w:lvl>
    <w:lvl w:ilvl="7" w:tplc="04090003" w:tentative="1">
      <w:start w:val="1"/>
      <w:numFmt w:val="bullet"/>
      <w:lvlText w:val="o"/>
      <w:lvlJc w:val="left"/>
      <w:pPr>
        <w:ind w:left="8872" w:hanging="360"/>
      </w:pPr>
      <w:rPr>
        <w:rFonts w:ascii="Courier New" w:hAnsi="Courier New" w:cs="Courier New" w:hint="default"/>
      </w:rPr>
    </w:lvl>
    <w:lvl w:ilvl="8" w:tplc="04090005" w:tentative="1">
      <w:start w:val="1"/>
      <w:numFmt w:val="bullet"/>
      <w:lvlText w:val=""/>
      <w:lvlJc w:val="left"/>
      <w:pPr>
        <w:ind w:left="9592" w:hanging="360"/>
      </w:pPr>
      <w:rPr>
        <w:rFonts w:ascii="Wingdings" w:hAnsi="Wingdings" w:hint="default"/>
      </w:rPr>
    </w:lvl>
  </w:abstractNum>
  <w:abstractNum w:abstractNumId="3" w15:restartNumberingAfterBreak="0">
    <w:nsid w:val="2A88602A"/>
    <w:multiLevelType w:val="hybridMultilevel"/>
    <w:tmpl w:val="0240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944D9"/>
    <w:multiLevelType w:val="hybridMultilevel"/>
    <w:tmpl w:val="FCBC6DAA"/>
    <w:lvl w:ilvl="0" w:tplc="071ABE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230E0"/>
    <w:multiLevelType w:val="hybridMultilevel"/>
    <w:tmpl w:val="7446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D7290"/>
    <w:multiLevelType w:val="hybridMultilevel"/>
    <w:tmpl w:val="9D5E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9179D"/>
    <w:multiLevelType w:val="hybridMultilevel"/>
    <w:tmpl w:val="26D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771BA"/>
    <w:multiLevelType w:val="hybridMultilevel"/>
    <w:tmpl w:val="16EE3106"/>
    <w:lvl w:ilvl="0" w:tplc="071ABE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51B67"/>
    <w:multiLevelType w:val="hybridMultilevel"/>
    <w:tmpl w:val="F28C8E4A"/>
    <w:lvl w:ilvl="0" w:tplc="6674F978">
      <w:start w:val="1"/>
      <w:numFmt w:val="bullet"/>
      <w:pStyle w:val="Heading2"/>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5"/>
  </w:num>
  <w:num w:numId="6">
    <w:abstractNumId w:val="8"/>
  </w:num>
  <w:num w:numId="7">
    <w:abstractNumId w:val="4"/>
  </w:num>
  <w:num w:numId="8">
    <w:abstractNumId w:val="0"/>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defaultTabStop w:val="720"/>
  <w:drawingGridHorizontalSpacing w:val="187"/>
  <w:drawingGridVerticalSpacing w:val="187"/>
  <w:displayHorizontalDrawingGridEvery w:val="6"/>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5B"/>
    <w:rsid w:val="00007B1D"/>
    <w:rsid w:val="000B0462"/>
    <w:rsid w:val="00116AF2"/>
    <w:rsid w:val="00142870"/>
    <w:rsid w:val="00142FAE"/>
    <w:rsid w:val="00177A24"/>
    <w:rsid w:val="00181BA5"/>
    <w:rsid w:val="001A555B"/>
    <w:rsid w:val="001F06C1"/>
    <w:rsid w:val="00203F34"/>
    <w:rsid w:val="0020734B"/>
    <w:rsid w:val="002248B4"/>
    <w:rsid w:val="0022650E"/>
    <w:rsid w:val="00233176"/>
    <w:rsid w:val="00246BF9"/>
    <w:rsid w:val="002656D6"/>
    <w:rsid w:val="00280D76"/>
    <w:rsid w:val="002A0B7E"/>
    <w:rsid w:val="002A152D"/>
    <w:rsid w:val="002B07AF"/>
    <w:rsid w:val="002B2411"/>
    <w:rsid w:val="002B40C6"/>
    <w:rsid w:val="002F44E7"/>
    <w:rsid w:val="00392F59"/>
    <w:rsid w:val="003B5904"/>
    <w:rsid w:val="003D5D21"/>
    <w:rsid w:val="003F0768"/>
    <w:rsid w:val="0040112A"/>
    <w:rsid w:val="00421260"/>
    <w:rsid w:val="00445E81"/>
    <w:rsid w:val="004817E7"/>
    <w:rsid w:val="00491A20"/>
    <w:rsid w:val="004F3DFC"/>
    <w:rsid w:val="00552BA7"/>
    <w:rsid w:val="00553A46"/>
    <w:rsid w:val="00571BC4"/>
    <w:rsid w:val="005855A2"/>
    <w:rsid w:val="005A559C"/>
    <w:rsid w:val="005B50D2"/>
    <w:rsid w:val="005E33B5"/>
    <w:rsid w:val="005F0AFB"/>
    <w:rsid w:val="005F72FD"/>
    <w:rsid w:val="00610261"/>
    <w:rsid w:val="00611DB7"/>
    <w:rsid w:val="00612429"/>
    <w:rsid w:val="00624305"/>
    <w:rsid w:val="00635717"/>
    <w:rsid w:val="0066784F"/>
    <w:rsid w:val="00684642"/>
    <w:rsid w:val="00694D1C"/>
    <w:rsid w:val="00712421"/>
    <w:rsid w:val="00716C9C"/>
    <w:rsid w:val="007423DD"/>
    <w:rsid w:val="007578CC"/>
    <w:rsid w:val="00761D21"/>
    <w:rsid w:val="00780475"/>
    <w:rsid w:val="007A78DE"/>
    <w:rsid w:val="007C768C"/>
    <w:rsid w:val="008537C2"/>
    <w:rsid w:val="00870B1C"/>
    <w:rsid w:val="00910135"/>
    <w:rsid w:val="00920FD8"/>
    <w:rsid w:val="00980BC5"/>
    <w:rsid w:val="00A046B2"/>
    <w:rsid w:val="00A201BC"/>
    <w:rsid w:val="00A31609"/>
    <w:rsid w:val="00A35D67"/>
    <w:rsid w:val="00A563F7"/>
    <w:rsid w:val="00A72F9B"/>
    <w:rsid w:val="00A96557"/>
    <w:rsid w:val="00AA544E"/>
    <w:rsid w:val="00AB4520"/>
    <w:rsid w:val="00AC2A1B"/>
    <w:rsid w:val="00B504B7"/>
    <w:rsid w:val="00B7126D"/>
    <w:rsid w:val="00B8020B"/>
    <w:rsid w:val="00B948E3"/>
    <w:rsid w:val="00BB70DD"/>
    <w:rsid w:val="00BB76B5"/>
    <w:rsid w:val="00BD2436"/>
    <w:rsid w:val="00CA5C0E"/>
    <w:rsid w:val="00CB78DC"/>
    <w:rsid w:val="00CC56BA"/>
    <w:rsid w:val="00CD28C3"/>
    <w:rsid w:val="00CF708A"/>
    <w:rsid w:val="00D060BB"/>
    <w:rsid w:val="00D4497E"/>
    <w:rsid w:val="00D73E41"/>
    <w:rsid w:val="00D7409E"/>
    <w:rsid w:val="00D93AAA"/>
    <w:rsid w:val="00D96C60"/>
    <w:rsid w:val="00DB3F10"/>
    <w:rsid w:val="00E00A05"/>
    <w:rsid w:val="00E17CE6"/>
    <w:rsid w:val="00E30EE3"/>
    <w:rsid w:val="00EC159D"/>
    <w:rsid w:val="00F353E9"/>
    <w:rsid w:val="00FA5842"/>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31E7C"/>
  <w15:chartTrackingRefBased/>
  <w15:docId w15:val="{9DB03FD2-4F60-45E1-BC9D-FC07BE98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2A1B"/>
  </w:style>
  <w:style w:type="paragraph" w:styleId="Heading1">
    <w:name w:val="heading 1"/>
    <w:basedOn w:val="Normal"/>
    <w:next w:val="Normal"/>
    <w:link w:val="Heading1Char"/>
    <w:uiPriority w:val="9"/>
    <w:qFormat/>
    <w:rsid w:val="003F0768"/>
    <w:pPr>
      <w:keepNext/>
      <w:keepLines/>
      <w:spacing w:after="0" w:line="192" w:lineRule="auto"/>
      <w:outlineLvl w:val="0"/>
    </w:pPr>
    <w:rPr>
      <w:rFonts w:eastAsiaTheme="majorEastAsia" w:cstheme="majorBidi"/>
      <w:b/>
      <w:color w:val="006877" w:themeColor="accent1"/>
      <w:sz w:val="32"/>
      <w:szCs w:val="32"/>
    </w:rPr>
  </w:style>
  <w:style w:type="paragraph" w:styleId="Heading2">
    <w:name w:val="heading 2"/>
    <w:aliases w:val="bullets"/>
    <w:basedOn w:val="Normal"/>
    <w:next w:val="Normal"/>
    <w:link w:val="Heading2Char"/>
    <w:uiPriority w:val="9"/>
    <w:unhideWhenUsed/>
    <w:qFormat/>
    <w:rsid w:val="003F0768"/>
    <w:pPr>
      <w:keepNext/>
      <w:keepLines/>
      <w:numPr>
        <w:numId w:val="4"/>
      </w:numPr>
      <w:spacing w:after="0"/>
      <w:ind w:left="360" w:hanging="216"/>
      <w:outlineLvl w:val="1"/>
    </w:pPr>
    <w:rPr>
      <w:rFonts w:asciiTheme="majorHAnsi" w:eastAsiaTheme="majorEastAsia" w:hAnsiTheme="majorHAnsi" w:cstheme="majorBidi"/>
      <w:color w:val="006877"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Title">
    <w:name w:val="Title"/>
    <w:basedOn w:val="Normal"/>
    <w:next w:val="Normal"/>
    <w:link w:val="TitleChar"/>
    <w:uiPriority w:val="10"/>
    <w:qFormat/>
    <w:rsid w:val="00AC2A1B"/>
    <w:pPr>
      <w:spacing w:after="0"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AC2A1B"/>
    <w:rPr>
      <w:rFonts w:asciiTheme="majorHAnsi" w:eastAsiaTheme="majorEastAsia" w:hAnsiTheme="majorHAnsi" w:cstheme="majorBidi"/>
      <w:color w:val="FFFFFF" w:themeColor="background1"/>
      <w:spacing w:val="-10"/>
      <w:kern w:val="28"/>
      <w:sz w:val="56"/>
      <w:szCs w:val="56"/>
    </w:rPr>
  </w:style>
  <w:style w:type="character" w:styleId="Strong">
    <w:name w:val="Strong"/>
    <w:basedOn w:val="DefaultParagraphFont"/>
    <w:uiPriority w:val="22"/>
    <w:qFormat/>
    <w:rsid w:val="00CD28C3"/>
    <w:rPr>
      <w:rFonts w:asciiTheme="minorHAnsi" w:hAnsiTheme="minorHAnsi"/>
      <w:b/>
      <w:bCs/>
    </w:rPr>
  </w:style>
  <w:style w:type="character" w:customStyle="1" w:styleId="Heading2Char">
    <w:name w:val="Heading 2 Char"/>
    <w:aliases w:val="bullets Char"/>
    <w:basedOn w:val="DefaultParagraphFont"/>
    <w:link w:val="Heading2"/>
    <w:uiPriority w:val="9"/>
    <w:rsid w:val="003F0768"/>
    <w:rPr>
      <w:rFonts w:asciiTheme="majorHAnsi" w:eastAsiaTheme="majorEastAsia" w:hAnsiTheme="majorHAnsi" w:cstheme="majorBidi"/>
      <w:color w:val="006877" w:themeColor="accent1"/>
      <w:sz w:val="24"/>
      <w:szCs w:val="26"/>
    </w:rPr>
  </w:style>
  <w:style w:type="paragraph" w:styleId="Header">
    <w:name w:val="header"/>
    <w:basedOn w:val="Normal"/>
    <w:link w:val="HeaderChar"/>
    <w:uiPriority w:val="99"/>
    <w:unhideWhenUsed/>
    <w:rsid w:val="002A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52D"/>
  </w:style>
  <w:style w:type="paragraph" w:styleId="Footer">
    <w:name w:val="footer"/>
    <w:basedOn w:val="Normal"/>
    <w:link w:val="FooterChar"/>
    <w:uiPriority w:val="99"/>
    <w:unhideWhenUsed/>
    <w:rsid w:val="002A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52D"/>
  </w:style>
  <w:style w:type="paragraph" w:styleId="BalloonText">
    <w:name w:val="Balloon Text"/>
    <w:basedOn w:val="Normal"/>
    <w:link w:val="BalloonTextChar"/>
    <w:uiPriority w:val="99"/>
    <w:semiHidden/>
    <w:unhideWhenUsed/>
    <w:rsid w:val="002A1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2D"/>
    <w:rPr>
      <w:rFonts w:ascii="Segoe UI" w:hAnsi="Segoe UI" w:cs="Segoe UI"/>
      <w:sz w:val="18"/>
      <w:szCs w:val="18"/>
    </w:rPr>
  </w:style>
  <w:style w:type="character" w:customStyle="1" w:styleId="Heading1Char">
    <w:name w:val="Heading 1 Char"/>
    <w:basedOn w:val="DefaultParagraphFont"/>
    <w:link w:val="Heading1"/>
    <w:uiPriority w:val="9"/>
    <w:rsid w:val="003F0768"/>
    <w:rPr>
      <w:rFonts w:eastAsiaTheme="majorEastAsia" w:cstheme="majorBidi"/>
      <w:b/>
      <w:color w:val="006877" w:themeColor="accent1"/>
      <w:sz w:val="32"/>
      <w:szCs w:val="32"/>
    </w:rPr>
  </w:style>
  <w:style w:type="paragraph" w:customStyle="1" w:styleId="1215NLH-BulletsNLHBulletsAmberBullets">
    <w:name w:val="12/15 NLH-Bullets (NLH Bullets:Amber Bullets)"/>
    <w:basedOn w:val="Normal"/>
    <w:uiPriority w:val="99"/>
    <w:rsid w:val="00AC2A1B"/>
    <w:pPr>
      <w:tabs>
        <w:tab w:val="left" w:pos="280"/>
      </w:tabs>
      <w:suppressAutoHyphens/>
      <w:autoSpaceDE w:val="0"/>
      <w:autoSpaceDN w:val="0"/>
      <w:adjustRightInd w:val="0"/>
      <w:spacing w:after="0" w:line="300" w:lineRule="atLeast"/>
      <w:ind w:left="180" w:hanging="180"/>
      <w:textAlignment w:val="center"/>
    </w:pPr>
    <w:rPr>
      <w:rFonts w:ascii="FreightSans Pro Book" w:hAnsi="FreightSans Pro Book" w:cs="FreightSans Pro Book"/>
      <w:color w:val="F68B26"/>
      <w:sz w:val="24"/>
      <w:szCs w:val="24"/>
    </w:rPr>
  </w:style>
  <w:style w:type="paragraph" w:customStyle="1" w:styleId="1215subhead-bookSubheads">
    <w:name w:val="12/15 subhead - book (Subheads)"/>
    <w:basedOn w:val="Normal"/>
    <w:uiPriority w:val="99"/>
    <w:rsid w:val="00AC2A1B"/>
    <w:pPr>
      <w:suppressAutoHyphens/>
      <w:autoSpaceDE w:val="0"/>
      <w:autoSpaceDN w:val="0"/>
      <w:adjustRightInd w:val="0"/>
      <w:spacing w:after="0" w:line="300" w:lineRule="atLeast"/>
      <w:textAlignment w:val="center"/>
    </w:pPr>
    <w:rPr>
      <w:rFonts w:ascii="FreightSans Pro Book" w:hAnsi="FreightSans Pro Book" w:cs="FreightSans Pro Book"/>
      <w:color w:val="000000"/>
      <w:sz w:val="24"/>
      <w:szCs w:val="24"/>
    </w:rPr>
  </w:style>
  <w:style w:type="paragraph" w:customStyle="1" w:styleId="1822subhead-bookSubheads">
    <w:name w:val="18/22 subhead - book (Subheads)"/>
    <w:basedOn w:val="Normal"/>
    <w:uiPriority w:val="99"/>
    <w:rsid w:val="00AC2A1B"/>
    <w:pPr>
      <w:suppressAutoHyphens/>
      <w:autoSpaceDE w:val="0"/>
      <w:autoSpaceDN w:val="0"/>
      <w:adjustRightInd w:val="0"/>
      <w:spacing w:after="0" w:line="440" w:lineRule="atLeast"/>
      <w:textAlignment w:val="center"/>
    </w:pPr>
    <w:rPr>
      <w:rFonts w:ascii="FreightSans Pro Book" w:hAnsi="FreightSans Pro Book" w:cs="FreightSans Pro Book"/>
      <w:color w:val="1D3436"/>
      <w:sz w:val="36"/>
      <w:szCs w:val="36"/>
    </w:rPr>
  </w:style>
  <w:style w:type="paragraph" w:customStyle="1" w:styleId="NLHbody">
    <w:name w:val="NLH body"/>
    <w:basedOn w:val="Normal"/>
    <w:link w:val="NLHbodyChar"/>
    <w:qFormat/>
    <w:rsid w:val="00CD28C3"/>
    <w:pPr>
      <w:spacing w:after="0" w:line="240" w:lineRule="auto"/>
    </w:pPr>
    <w:rPr>
      <w:rFonts w:asciiTheme="majorHAnsi" w:hAnsiTheme="majorHAnsi" w:cstheme="majorHAnsi"/>
      <w:color w:val="3D4543" w:themeColor="text1"/>
      <w:szCs w:val="20"/>
    </w:rPr>
  </w:style>
  <w:style w:type="character" w:customStyle="1" w:styleId="NLHbodyChar">
    <w:name w:val="NLH body Char"/>
    <w:basedOn w:val="DefaultParagraphFont"/>
    <w:link w:val="NLHbody"/>
    <w:rsid w:val="00CD28C3"/>
    <w:rPr>
      <w:rFonts w:asciiTheme="majorHAnsi" w:hAnsiTheme="majorHAnsi" w:cstheme="majorHAnsi"/>
      <w:color w:val="3D4543" w:themeColor="text1"/>
      <w:szCs w:val="20"/>
    </w:rPr>
  </w:style>
  <w:style w:type="paragraph" w:customStyle="1" w:styleId="NLHBulletGrid">
    <w:name w:val="NLH Bullet Grid"/>
    <w:basedOn w:val="Normal"/>
    <w:link w:val="NLHBulletGridChar"/>
    <w:rsid w:val="00AC2A1B"/>
    <w:pPr>
      <w:numPr>
        <w:numId w:val="3"/>
      </w:numPr>
      <w:spacing w:after="0" w:line="240" w:lineRule="auto"/>
    </w:pPr>
    <w:rPr>
      <w:rFonts w:asciiTheme="majorHAnsi" w:hAnsiTheme="majorHAnsi" w:cstheme="majorHAnsi"/>
      <w:color w:val="3D4543" w:themeColor="text1"/>
      <w:sz w:val="20"/>
      <w:szCs w:val="20"/>
    </w:rPr>
  </w:style>
  <w:style w:type="character" w:customStyle="1" w:styleId="NLHBulletGridChar">
    <w:name w:val="NLH Bullet Grid Char"/>
    <w:basedOn w:val="DefaultParagraphFont"/>
    <w:link w:val="NLHBulletGrid"/>
    <w:rsid w:val="00AC2A1B"/>
    <w:rPr>
      <w:rFonts w:asciiTheme="majorHAnsi" w:hAnsiTheme="majorHAnsi" w:cstheme="majorHAnsi"/>
      <w:color w:val="3D4543" w:themeColor="text1"/>
      <w:sz w:val="20"/>
      <w:szCs w:val="20"/>
    </w:rPr>
  </w:style>
  <w:style w:type="paragraph" w:customStyle="1" w:styleId="NLHHeaderCalibriLight20">
    <w:name w:val="NLH Header Calibri Light 20"/>
    <w:basedOn w:val="Normal"/>
    <w:link w:val="NLHHeaderCalibriLight20Char"/>
    <w:qFormat/>
    <w:rsid w:val="003F0768"/>
    <w:pPr>
      <w:spacing w:after="40" w:line="192" w:lineRule="auto"/>
    </w:pPr>
    <w:rPr>
      <w:rFonts w:asciiTheme="majorHAnsi" w:hAnsiTheme="majorHAnsi" w:cstheme="majorHAnsi"/>
      <w:color w:val="006877" w:themeColor="accent1"/>
      <w:sz w:val="64"/>
      <w:szCs w:val="40"/>
    </w:rPr>
  </w:style>
  <w:style w:type="character" w:customStyle="1" w:styleId="NLHHeaderCalibriLight20Char">
    <w:name w:val="NLH Header Calibri Light 20 Char"/>
    <w:basedOn w:val="DefaultParagraphFont"/>
    <w:link w:val="NLHHeaderCalibriLight20"/>
    <w:rsid w:val="003F0768"/>
    <w:rPr>
      <w:rFonts w:asciiTheme="majorHAnsi" w:hAnsiTheme="majorHAnsi" w:cstheme="majorHAnsi"/>
      <w:color w:val="006877" w:themeColor="accent1"/>
      <w:sz w:val="64"/>
      <w:szCs w:val="40"/>
    </w:rPr>
  </w:style>
  <w:style w:type="character" w:customStyle="1" w:styleId="NLHPine">
    <w:name w:val="NLH Pine"/>
    <w:uiPriority w:val="99"/>
    <w:rsid w:val="00AC2A1B"/>
    <w:rPr>
      <w:color w:val="9BBD3B"/>
    </w:rPr>
  </w:style>
  <w:style w:type="paragraph" w:customStyle="1" w:styleId="NLHSubhead13Amber">
    <w:name w:val="NLH Subhead 13 Amber"/>
    <w:basedOn w:val="Normal"/>
    <w:link w:val="NLHSubhead13AmberChar"/>
    <w:qFormat/>
    <w:rsid w:val="00AC2A1B"/>
    <w:pPr>
      <w:spacing w:after="0"/>
    </w:pPr>
    <w:rPr>
      <w:color w:val="E77724" w:themeColor="accent2"/>
      <w:sz w:val="26"/>
      <w:szCs w:val="26"/>
    </w:rPr>
  </w:style>
  <w:style w:type="character" w:customStyle="1" w:styleId="NLHSubhead13AmberChar">
    <w:name w:val="NLH Subhead 13 Amber Char"/>
    <w:basedOn w:val="DefaultParagraphFont"/>
    <w:link w:val="NLHSubhead13Amber"/>
    <w:rsid w:val="00AC2A1B"/>
    <w:rPr>
      <w:color w:val="E77724" w:themeColor="accent2"/>
      <w:sz w:val="26"/>
      <w:szCs w:val="26"/>
    </w:rPr>
  </w:style>
  <w:style w:type="character" w:styleId="Hyperlink">
    <w:name w:val="Hyperlink"/>
    <w:basedOn w:val="DefaultParagraphFont"/>
    <w:uiPriority w:val="99"/>
    <w:unhideWhenUsed/>
    <w:rsid w:val="00552BA7"/>
    <w:rPr>
      <w:color w:val="006877" w:themeColor="hyperlink"/>
      <w:u w:val="single"/>
    </w:rPr>
  </w:style>
  <w:style w:type="character" w:styleId="UnresolvedMention">
    <w:name w:val="Unresolved Mention"/>
    <w:basedOn w:val="DefaultParagraphFont"/>
    <w:uiPriority w:val="99"/>
    <w:semiHidden/>
    <w:unhideWhenUsed/>
    <w:rsid w:val="00552BA7"/>
    <w:rPr>
      <w:color w:val="605E5C"/>
      <w:shd w:val="clear" w:color="auto" w:fill="E1DFDD"/>
    </w:rPr>
  </w:style>
  <w:style w:type="paragraph" w:styleId="NoSpacing">
    <w:name w:val="No Spacing"/>
    <w:uiPriority w:val="1"/>
    <w:qFormat/>
    <w:rsid w:val="00CB78DC"/>
    <w:pPr>
      <w:spacing w:after="0" w:line="240" w:lineRule="auto"/>
    </w:pPr>
  </w:style>
  <w:style w:type="paragraph" w:styleId="NormalWeb">
    <w:name w:val="Normal (Web)"/>
    <w:basedOn w:val="Normal"/>
    <w:uiPriority w:val="99"/>
    <w:semiHidden/>
    <w:unhideWhenUsed/>
    <w:rsid w:val="006124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33176"/>
    <w:pPr>
      <w:autoSpaceDE w:val="0"/>
      <w:autoSpaceDN w:val="0"/>
      <w:adjustRightInd w:val="0"/>
      <w:spacing w:after="0" w:line="240" w:lineRule="auto"/>
    </w:pPr>
    <w:rPr>
      <w:rFonts w:ascii="FreightSans Pro Book" w:hAnsi="FreightSans Pro Book" w:cs="FreightSans Pro Book"/>
      <w:color w:val="000000"/>
      <w:sz w:val="24"/>
      <w:szCs w:val="24"/>
    </w:rPr>
  </w:style>
  <w:style w:type="character" w:customStyle="1" w:styleId="A1">
    <w:name w:val="A1"/>
    <w:uiPriority w:val="99"/>
    <w:rsid w:val="00233176"/>
    <w:rPr>
      <w:rFonts w:cs="FreightSans Pro Book"/>
      <w:color w:val="000000"/>
      <w:sz w:val="22"/>
      <w:szCs w:val="22"/>
    </w:rPr>
  </w:style>
  <w:style w:type="paragraph" w:customStyle="1" w:styleId="Pa2">
    <w:name w:val="Pa2"/>
    <w:basedOn w:val="Default"/>
    <w:next w:val="Default"/>
    <w:uiPriority w:val="99"/>
    <w:rsid w:val="00233176"/>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06499">
      <w:bodyDiv w:val="1"/>
      <w:marLeft w:val="0"/>
      <w:marRight w:val="0"/>
      <w:marTop w:val="0"/>
      <w:marBottom w:val="0"/>
      <w:divBdr>
        <w:top w:val="none" w:sz="0" w:space="0" w:color="auto"/>
        <w:left w:val="none" w:sz="0" w:space="0" w:color="auto"/>
        <w:bottom w:val="none" w:sz="0" w:space="0" w:color="auto"/>
        <w:right w:val="none" w:sz="0" w:space="0" w:color="auto"/>
      </w:divBdr>
      <w:divsChild>
        <w:div w:id="962464814">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bdalegal.org/publications/when-health-care-isnt-caring" TargetMode="External"/><Relationship Id="rId3" Type="http://schemas.openxmlformats.org/officeDocument/2006/relationships/settings" Target="settings.xml"/><Relationship Id="rId7" Type="http://schemas.openxmlformats.org/officeDocument/2006/relationships/hyperlink" Target="http://www.lambdalegal.org/publications/when-health-care-isnt-c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BJC1\AppData\Roaming\Microsoft\Templates\Technology%20business%20newsletter%20(4%20pages).dotx" TargetMode="External"/></Relationships>
</file>

<file path=word/theme/theme1.xml><?xml version="1.0" encoding="utf-8"?>
<a:theme xmlns:a="http://schemas.openxmlformats.org/drawingml/2006/main" name="Office Theme">
  <a:themeElements>
    <a:clrScheme name="Northern Light Health">
      <a:dk1>
        <a:srgbClr val="3D4543"/>
      </a:dk1>
      <a:lt1>
        <a:sysClr val="window" lastClr="FFFFFF"/>
      </a:lt1>
      <a:dk2>
        <a:srgbClr val="787878"/>
      </a:dk2>
      <a:lt2>
        <a:srgbClr val="3D4543"/>
      </a:lt2>
      <a:accent1>
        <a:srgbClr val="006877"/>
      </a:accent1>
      <a:accent2>
        <a:srgbClr val="E77724"/>
      </a:accent2>
      <a:accent3>
        <a:srgbClr val="B4BD00"/>
      </a:accent3>
      <a:accent4>
        <a:srgbClr val="8CAC17"/>
      </a:accent4>
      <a:accent5>
        <a:srgbClr val="4CA585"/>
      </a:accent5>
      <a:accent6>
        <a:srgbClr val="19909B"/>
      </a:accent6>
      <a:hlink>
        <a:srgbClr val="006877"/>
      </a:hlink>
      <a:folHlink>
        <a:srgbClr val="3D454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newsletter (4 pages)</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Cayer, Bridgit J</dc:creator>
  <cp:keywords/>
  <dc:description/>
  <cp:lastModifiedBy>Parent, Rebecca (Marketing and Communications)</cp:lastModifiedBy>
  <cp:revision>2</cp:revision>
  <cp:lastPrinted>2020-06-05T16:02:00Z</cp:lastPrinted>
  <dcterms:created xsi:type="dcterms:W3CDTF">2020-06-19T02:40:00Z</dcterms:created>
  <dcterms:modified xsi:type="dcterms:W3CDTF">2020-06-19T02:40:00Z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2018-02-24T10:37:45.1639082Z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